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0F" w:rsidRPr="00892CBD" w:rsidRDefault="0066380F" w:rsidP="00892CBD">
      <w:pPr>
        <w:pStyle w:val="ListParagraph"/>
        <w:numPr>
          <w:ilvl w:val="0"/>
          <w:numId w:val="7"/>
        </w:numPr>
        <w:spacing w:after="0" w:line="240" w:lineRule="auto"/>
        <w:jc w:val="both"/>
        <w:rPr>
          <w:rFonts w:eastAsiaTheme="majorEastAsia" w:cstheme="majorBidi"/>
          <w:b/>
          <w:bCs/>
        </w:rPr>
      </w:pPr>
      <w:bookmarkStart w:id="0" w:name="_Toc454969271"/>
      <w:r w:rsidRPr="00892CBD">
        <w:rPr>
          <w:rFonts w:eastAsiaTheme="majorEastAsia" w:cstheme="majorBidi"/>
          <w:b/>
          <w:bCs/>
        </w:rPr>
        <w:t>Introduction</w:t>
      </w:r>
      <w:bookmarkEnd w:id="0"/>
    </w:p>
    <w:p w:rsidR="00892CBD" w:rsidRDefault="00892CBD" w:rsidP="00892CBD">
      <w:pPr>
        <w:pStyle w:val="ListParagraph"/>
        <w:spacing w:after="0" w:line="240" w:lineRule="auto"/>
        <w:ind w:left="435"/>
        <w:jc w:val="both"/>
      </w:pPr>
    </w:p>
    <w:p w:rsidR="0066380F" w:rsidRDefault="00AF3F01" w:rsidP="00892CBD">
      <w:pPr>
        <w:pStyle w:val="NoSpacing"/>
        <w:jc w:val="both"/>
      </w:pPr>
      <w:r>
        <w:t>One Manchester is committed to providing service</w:t>
      </w:r>
      <w:r w:rsidR="00156CAF">
        <w:t>s</w:t>
      </w:r>
      <w:r>
        <w:t xml:space="preserve"> that </w:t>
      </w:r>
      <w:r w:rsidR="00156CAF">
        <w:t>are</w:t>
      </w:r>
      <w:r>
        <w:t xml:space="preserve"> fair, transparent and equitable.  We also want to ensure that our stock </w:t>
      </w:r>
      <w:r w:rsidR="00973D5E">
        <w:t xml:space="preserve">and neighbourhoods are maintained to a high standard.  </w:t>
      </w:r>
      <w:r w:rsidR="0066380F">
        <w:t xml:space="preserve">We expect </w:t>
      </w:r>
      <w:r w:rsidR="00707B41">
        <w:t>tenants</w:t>
      </w:r>
      <w:r w:rsidR="0066380F">
        <w:t xml:space="preserve"> to keep their homes</w:t>
      </w:r>
      <w:r w:rsidR="00FE06DF">
        <w:t>, g</w:t>
      </w:r>
      <w:r w:rsidR="00973D5E">
        <w:t>ardens</w:t>
      </w:r>
      <w:r w:rsidR="00FE06DF">
        <w:t xml:space="preserve"> and communal areas </w:t>
      </w:r>
      <w:r w:rsidR="0066380F">
        <w:t xml:space="preserve">in good condition, undertake minor repairs and avoid acts or omissions </w:t>
      </w:r>
      <w:r w:rsidR="0066380F" w:rsidRPr="00D050F6">
        <w:t xml:space="preserve">that result </w:t>
      </w:r>
      <w:r w:rsidRPr="00D050F6">
        <w:t>in damage to their home.</w:t>
      </w:r>
      <w:r>
        <w:t xml:space="preserve">  </w:t>
      </w:r>
      <w:r w:rsidR="0066380F">
        <w:t>This policy sets out One Manchester’s approach to recharge</w:t>
      </w:r>
      <w:r w:rsidR="00973D5E">
        <w:t>s</w:t>
      </w:r>
      <w:r w:rsidR="0066380F">
        <w:t xml:space="preserve"> and should be read in conjunction with One Manchester’s Repairs Policy.</w:t>
      </w:r>
    </w:p>
    <w:p w:rsidR="0066380F" w:rsidRDefault="0066380F" w:rsidP="0066380F">
      <w:pPr>
        <w:spacing w:after="0" w:line="240" w:lineRule="auto"/>
        <w:jc w:val="both"/>
        <w:rPr>
          <w:rFonts w:eastAsiaTheme="majorEastAsia" w:cstheme="majorBidi"/>
          <w:bCs/>
        </w:rPr>
      </w:pPr>
    </w:p>
    <w:p w:rsidR="0066380F" w:rsidRPr="00892CBD" w:rsidRDefault="00892CBD" w:rsidP="0066380F">
      <w:pPr>
        <w:spacing w:after="0" w:line="240" w:lineRule="auto"/>
        <w:jc w:val="both"/>
        <w:rPr>
          <w:rFonts w:eastAsiaTheme="majorEastAsia" w:cstheme="majorBidi"/>
          <w:b/>
          <w:bCs/>
        </w:rPr>
      </w:pPr>
      <w:r w:rsidRPr="00892CBD">
        <w:rPr>
          <w:rFonts w:eastAsiaTheme="majorEastAsia" w:cstheme="majorBidi"/>
          <w:b/>
          <w:bCs/>
        </w:rPr>
        <w:t xml:space="preserve">2.0 </w:t>
      </w:r>
      <w:r w:rsidR="00134207">
        <w:rPr>
          <w:rFonts w:eastAsiaTheme="majorEastAsia" w:cstheme="majorBidi"/>
          <w:b/>
          <w:bCs/>
        </w:rPr>
        <w:t>Aims and o</w:t>
      </w:r>
      <w:r w:rsidR="0066380F" w:rsidRPr="00892CBD">
        <w:rPr>
          <w:rFonts w:eastAsiaTheme="majorEastAsia" w:cstheme="majorBidi"/>
          <w:b/>
          <w:bCs/>
        </w:rPr>
        <w:t xml:space="preserve">bjectives </w:t>
      </w:r>
    </w:p>
    <w:p w:rsidR="0066380F" w:rsidRDefault="0066380F" w:rsidP="0066380F">
      <w:pPr>
        <w:pStyle w:val="NoSpacing"/>
      </w:pPr>
    </w:p>
    <w:p w:rsidR="00973D5E" w:rsidRPr="00892CBD" w:rsidRDefault="00134207" w:rsidP="00892CBD">
      <w:pPr>
        <w:pStyle w:val="NoSpacing"/>
        <w:jc w:val="both"/>
      </w:pPr>
      <w:r>
        <w:t xml:space="preserve">The </w:t>
      </w:r>
      <w:r w:rsidR="00223BA7" w:rsidRPr="00892CBD">
        <w:t xml:space="preserve">key </w:t>
      </w:r>
      <w:r w:rsidR="00AF3F01" w:rsidRPr="00892CBD">
        <w:t xml:space="preserve">aim of this policy </w:t>
      </w:r>
      <w:r w:rsidR="00223BA7" w:rsidRPr="00892CBD">
        <w:t xml:space="preserve">is to establish and maintain a transparent approach to the issue of </w:t>
      </w:r>
      <w:r w:rsidR="00D050F6">
        <w:t>re</w:t>
      </w:r>
      <w:r w:rsidR="00223BA7" w:rsidRPr="00892CBD">
        <w:t>charging tenants whilst ensuring</w:t>
      </w:r>
      <w:r w:rsidR="00D050F6">
        <w:t xml:space="preserve"> </w:t>
      </w:r>
      <w:r w:rsidR="00223BA7" w:rsidRPr="00892CBD">
        <w:t xml:space="preserve">the process involved is operationally effective and efficient.   </w:t>
      </w:r>
      <w:r w:rsidR="00973D5E" w:rsidRPr="00892CBD">
        <w:t xml:space="preserve">This policy applies to all One Manchester tenants </w:t>
      </w:r>
      <w:r w:rsidR="00D050F6">
        <w:t xml:space="preserve">and leaseholders </w:t>
      </w:r>
      <w:r w:rsidR="00CE539A" w:rsidRPr="00892CBD">
        <w:t>- whether the work is needed as a result of their own actions/inactions, those of their family members</w:t>
      </w:r>
      <w:r w:rsidR="00CB4E16">
        <w:t>, pets</w:t>
      </w:r>
      <w:r w:rsidR="00CE539A" w:rsidRPr="00892CBD">
        <w:t xml:space="preserve"> or visitors - </w:t>
      </w:r>
      <w:r w:rsidR="00973D5E" w:rsidRPr="00892CBD">
        <w:t>and includes garage tenancies.</w:t>
      </w:r>
      <w:r>
        <w:t xml:space="preserve">  The objectives of this policy are to give clear guidance on when recharges will be applied; the process for both tenanted and void processes and when discretion can be applied.  </w:t>
      </w:r>
    </w:p>
    <w:p w:rsidR="00223BA7" w:rsidRPr="00892CBD" w:rsidRDefault="00223BA7" w:rsidP="00892CBD">
      <w:pPr>
        <w:pStyle w:val="NoSpacing"/>
        <w:jc w:val="both"/>
      </w:pPr>
    </w:p>
    <w:p w:rsidR="005D7D4A" w:rsidRPr="00892CBD" w:rsidRDefault="00134207" w:rsidP="005D7D4A">
      <w:pPr>
        <w:spacing w:after="0" w:line="240" w:lineRule="auto"/>
        <w:jc w:val="both"/>
        <w:rPr>
          <w:rFonts w:eastAsiaTheme="majorEastAsia" w:cstheme="majorBidi"/>
          <w:b/>
          <w:bCs/>
        </w:rPr>
      </w:pPr>
      <w:r>
        <w:rPr>
          <w:rFonts w:eastAsiaTheme="majorEastAsia" w:cstheme="majorBidi"/>
          <w:b/>
          <w:bCs/>
        </w:rPr>
        <w:t>3</w:t>
      </w:r>
      <w:r w:rsidR="00892CBD" w:rsidRPr="00892CBD">
        <w:rPr>
          <w:rFonts w:eastAsiaTheme="majorEastAsia" w:cstheme="majorBidi"/>
          <w:b/>
          <w:bCs/>
        </w:rPr>
        <w:t xml:space="preserve">.0 </w:t>
      </w:r>
      <w:r w:rsidR="00973D5E" w:rsidRPr="00892CBD">
        <w:rPr>
          <w:rFonts w:eastAsiaTheme="majorEastAsia" w:cstheme="majorBidi"/>
          <w:b/>
          <w:bCs/>
        </w:rPr>
        <w:t>Recharge</w:t>
      </w:r>
      <w:r w:rsidR="00D61362">
        <w:rPr>
          <w:rFonts w:eastAsiaTheme="majorEastAsia" w:cstheme="majorBidi"/>
          <w:b/>
          <w:bCs/>
        </w:rPr>
        <w:t xml:space="preserve"> definition</w:t>
      </w:r>
    </w:p>
    <w:p w:rsidR="00973859" w:rsidRDefault="00973859" w:rsidP="00040659">
      <w:pPr>
        <w:autoSpaceDE w:val="0"/>
        <w:autoSpaceDN w:val="0"/>
        <w:adjustRightInd w:val="0"/>
        <w:spacing w:after="0" w:line="240" w:lineRule="auto"/>
        <w:jc w:val="both"/>
        <w:rPr>
          <w:rFonts w:eastAsia="Times New Roman" w:cs="Arial"/>
          <w:lang w:eastAsia="en-GB"/>
        </w:rPr>
      </w:pPr>
    </w:p>
    <w:p w:rsidR="00973859" w:rsidRDefault="00973859" w:rsidP="00040659">
      <w:p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Identifying </w:t>
      </w:r>
      <w:r w:rsidR="00B92174" w:rsidRPr="00B92174">
        <w:rPr>
          <w:rFonts w:eastAsia="Times New Roman" w:cs="Arial"/>
          <w:lang w:eastAsia="en-GB"/>
        </w:rPr>
        <w:t xml:space="preserve">a </w:t>
      </w:r>
      <w:r w:rsidRPr="00B92174">
        <w:rPr>
          <w:rFonts w:eastAsia="Times New Roman" w:cs="Arial"/>
          <w:lang w:eastAsia="en-GB"/>
        </w:rPr>
        <w:t>recharge</w:t>
      </w:r>
      <w:r>
        <w:rPr>
          <w:rFonts w:eastAsia="Times New Roman" w:cs="Arial"/>
          <w:lang w:eastAsia="en-GB"/>
        </w:rPr>
        <w:t xml:space="preserve"> </w:t>
      </w:r>
      <w:r w:rsidR="00B92174">
        <w:rPr>
          <w:rFonts w:eastAsia="Times New Roman" w:cs="Arial"/>
          <w:lang w:eastAsia="en-GB"/>
        </w:rPr>
        <w:t>is</w:t>
      </w:r>
      <w:r>
        <w:rPr>
          <w:rFonts w:eastAsia="Times New Roman" w:cs="Arial"/>
          <w:lang w:eastAsia="en-GB"/>
        </w:rPr>
        <w:t xml:space="preserve"> part of the general dialogue with </w:t>
      </w:r>
      <w:r w:rsidR="00156CAF">
        <w:rPr>
          <w:rFonts w:eastAsia="Times New Roman" w:cs="Arial"/>
          <w:lang w:eastAsia="en-GB"/>
        </w:rPr>
        <w:t>a</w:t>
      </w:r>
      <w:r>
        <w:rPr>
          <w:rFonts w:eastAsia="Times New Roman" w:cs="Arial"/>
          <w:lang w:eastAsia="en-GB"/>
        </w:rPr>
        <w:t xml:space="preserve"> tenant at the original reporting stage</w:t>
      </w:r>
      <w:r w:rsidR="00B92174">
        <w:rPr>
          <w:rFonts w:eastAsia="Times New Roman" w:cs="Arial"/>
          <w:lang w:eastAsia="en-GB"/>
        </w:rPr>
        <w:t>.  However, it is a</w:t>
      </w:r>
      <w:r>
        <w:rPr>
          <w:rFonts w:eastAsia="Times New Roman" w:cs="Arial"/>
          <w:lang w:eastAsia="en-GB"/>
        </w:rPr>
        <w:t>lso the</w:t>
      </w:r>
      <w:r w:rsidR="00B92174">
        <w:rPr>
          <w:rFonts w:eastAsia="Times New Roman" w:cs="Arial"/>
          <w:lang w:eastAsia="en-GB"/>
        </w:rPr>
        <w:t xml:space="preserve"> responsibility of an</w:t>
      </w:r>
      <w:r>
        <w:rPr>
          <w:rFonts w:eastAsia="Times New Roman" w:cs="Arial"/>
          <w:lang w:eastAsia="en-GB"/>
        </w:rPr>
        <w:t xml:space="preserve"> operative</w:t>
      </w:r>
      <w:r w:rsidR="00D050F6">
        <w:rPr>
          <w:rFonts w:eastAsia="Times New Roman" w:cs="Arial"/>
          <w:lang w:eastAsia="en-GB"/>
        </w:rPr>
        <w:t>/contractor</w:t>
      </w:r>
      <w:r>
        <w:rPr>
          <w:rFonts w:eastAsia="Times New Roman" w:cs="Arial"/>
          <w:lang w:eastAsia="en-GB"/>
        </w:rPr>
        <w:t xml:space="preserve"> attending the property to carry out </w:t>
      </w:r>
      <w:r w:rsidR="007B560C">
        <w:rPr>
          <w:rFonts w:eastAsia="Times New Roman" w:cs="Arial"/>
          <w:lang w:eastAsia="en-GB"/>
        </w:rPr>
        <w:t>work</w:t>
      </w:r>
      <w:r>
        <w:rPr>
          <w:rFonts w:eastAsia="Times New Roman" w:cs="Arial"/>
          <w:lang w:eastAsia="en-GB"/>
        </w:rPr>
        <w:t xml:space="preserve"> or at a </w:t>
      </w:r>
      <w:r w:rsidR="00674A22">
        <w:rPr>
          <w:rFonts w:eastAsia="Times New Roman" w:cs="Arial"/>
          <w:lang w:eastAsia="en-GB"/>
        </w:rPr>
        <w:t>S</w:t>
      </w:r>
      <w:r>
        <w:rPr>
          <w:rFonts w:eastAsia="Times New Roman" w:cs="Arial"/>
          <w:lang w:eastAsia="en-GB"/>
        </w:rPr>
        <w:t>urveyor</w:t>
      </w:r>
      <w:r w:rsidR="00674A22">
        <w:rPr>
          <w:rFonts w:eastAsia="Times New Roman" w:cs="Arial"/>
          <w:lang w:eastAsia="en-GB"/>
        </w:rPr>
        <w:t>/Neighbourhood Officer</w:t>
      </w:r>
      <w:r>
        <w:rPr>
          <w:rFonts w:eastAsia="Times New Roman" w:cs="Arial"/>
          <w:lang w:eastAsia="en-GB"/>
        </w:rPr>
        <w:t xml:space="preserve"> inspection.  All relevant staff </w:t>
      </w:r>
      <w:proofErr w:type="gramStart"/>
      <w:r w:rsidR="00FE06DF">
        <w:rPr>
          <w:rFonts w:eastAsia="Times New Roman" w:cs="Arial"/>
          <w:lang w:eastAsia="en-GB"/>
        </w:rPr>
        <w:t>are</w:t>
      </w:r>
      <w:proofErr w:type="gramEnd"/>
      <w:r w:rsidR="00FE06DF">
        <w:rPr>
          <w:rFonts w:eastAsia="Times New Roman" w:cs="Arial"/>
          <w:lang w:eastAsia="en-GB"/>
        </w:rPr>
        <w:t xml:space="preserve"> r</w:t>
      </w:r>
      <w:r>
        <w:rPr>
          <w:rFonts w:eastAsia="Times New Roman" w:cs="Arial"/>
          <w:lang w:eastAsia="en-GB"/>
        </w:rPr>
        <w:t>equired to determine whether this policy applies and</w:t>
      </w:r>
      <w:r w:rsidR="00D050F6">
        <w:rPr>
          <w:rFonts w:eastAsia="Times New Roman" w:cs="Arial"/>
          <w:lang w:eastAsia="en-GB"/>
        </w:rPr>
        <w:t xml:space="preserve"> to </w:t>
      </w:r>
      <w:r>
        <w:rPr>
          <w:rFonts w:eastAsia="Times New Roman" w:cs="Arial"/>
          <w:lang w:eastAsia="en-GB"/>
        </w:rPr>
        <w:t>take responsibility for initiating it.</w:t>
      </w:r>
    </w:p>
    <w:p w:rsidR="00367507" w:rsidRDefault="00367507" w:rsidP="00040659">
      <w:pPr>
        <w:autoSpaceDE w:val="0"/>
        <w:autoSpaceDN w:val="0"/>
        <w:adjustRightInd w:val="0"/>
        <w:spacing w:after="0" w:line="240" w:lineRule="auto"/>
        <w:jc w:val="both"/>
        <w:rPr>
          <w:rFonts w:eastAsia="Times New Roman" w:cs="Arial"/>
          <w:lang w:eastAsia="en-GB"/>
        </w:rPr>
      </w:pPr>
    </w:p>
    <w:p w:rsidR="007B560C" w:rsidRDefault="007B560C" w:rsidP="00040659">
      <w:pPr>
        <w:autoSpaceDE w:val="0"/>
        <w:autoSpaceDN w:val="0"/>
        <w:adjustRightInd w:val="0"/>
        <w:spacing w:after="0" w:line="240" w:lineRule="auto"/>
        <w:jc w:val="both"/>
        <w:rPr>
          <w:rFonts w:eastAsia="Times New Roman" w:cs="Arial"/>
          <w:lang w:eastAsia="en-GB"/>
        </w:rPr>
      </w:pPr>
      <w:r>
        <w:rPr>
          <w:rFonts w:eastAsia="Times New Roman" w:cs="Arial"/>
          <w:lang w:eastAsia="en-GB"/>
        </w:rPr>
        <w:t>The policy will apply in the following circumstances</w:t>
      </w:r>
      <w:r w:rsidR="00FE06DF">
        <w:rPr>
          <w:rFonts w:eastAsia="Times New Roman" w:cs="Arial"/>
          <w:lang w:eastAsia="en-GB"/>
        </w:rPr>
        <w:t>.  T</w:t>
      </w:r>
      <w:r w:rsidR="00B92174">
        <w:rPr>
          <w:rFonts w:eastAsia="Times New Roman" w:cs="Arial"/>
          <w:lang w:eastAsia="en-GB"/>
        </w:rPr>
        <w:t>his is</w:t>
      </w:r>
      <w:r>
        <w:rPr>
          <w:rFonts w:eastAsia="Times New Roman" w:cs="Arial"/>
          <w:lang w:eastAsia="en-GB"/>
        </w:rPr>
        <w:t xml:space="preserve"> not an </w:t>
      </w:r>
      <w:r w:rsidR="00367507">
        <w:rPr>
          <w:rFonts w:eastAsia="Times New Roman" w:cs="Arial"/>
          <w:lang w:eastAsia="en-GB"/>
        </w:rPr>
        <w:t xml:space="preserve">exhaustive </w:t>
      </w:r>
      <w:r>
        <w:rPr>
          <w:rFonts w:eastAsia="Times New Roman" w:cs="Arial"/>
          <w:lang w:eastAsia="en-GB"/>
        </w:rPr>
        <w:t xml:space="preserve">list </w:t>
      </w:r>
      <w:r w:rsidR="00367507">
        <w:rPr>
          <w:rFonts w:eastAsia="Times New Roman" w:cs="Arial"/>
          <w:lang w:eastAsia="en-GB"/>
        </w:rPr>
        <w:t xml:space="preserve">and managers have the discretion to identify </w:t>
      </w:r>
      <w:r>
        <w:rPr>
          <w:rFonts w:eastAsia="Times New Roman" w:cs="Arial"/>
          <w:lang w:eastAsia="en-GB"/>
        </w:rPr>
        <w:t xml:space="preserve">other </w:t>
      </w:r>
      <w:r w:rsidR="00B92174">
        <w:rPr>
          <w:rFonts w:eastAsia="Times New Roman" w:cs="Arial"/>
          <w:lang w:eastAsia="en-GB"/>
        </w:rPr>
        <w:t>valid</w:t>
      </w:r>
      <w:r>
        <w:rPr>
          <w:rFonts w:eastAsia="Times New Roman" w:cs="Arial"/>
          <w:lang w:eastAsia="en-GB"/>
        </w:rPr>
        <w:t xml:space="preserve"> areas for recharge:</w:t>
      </w:r>
    </w:p>
    <w:p w:rsidR="007B560C" w:rsidRDefault="007B560C" w:rsidP="00040659">
      <w:pPr>
        <w:autoSpaceDE w:val="0"/>
        <w:autoSpaceDN w:val="0"/>
        <w:adjustRightInd w:val="0"/>
        <w:spacing w:after="0" w:line="240" w:lineRule="auto"/>
        <w:jc w:val="both"/>
        <w:rPr>
          <w:rFonts w:eastAsia="Times New Roman" w:cs="Arial"/>
          <w:lang w:eastAsia="en-GB"/>
        </w:rPr>
      </w:pPr>
    </w:p>
    <w:p w:rsidR="00DF6709" w:rsidRDefault="00DF6709"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damaged </w:t>
      </w:r>
      <w:r w:rsidR="007B560C">
        <w:rPr>
          <w:rFonts w:eastAsia="Times New Roman" w:cs="Arial"/>
          <w:lang w:eastAsia="en-GB"/>
        </w:rPr>
        <w:t xml:space="preserve">external and internal </w:t>
      </w:r>
      <w:r>
        <w:rPr>
          <w:rFonts w:eastAsia="Times New Roman" w:cs="Arial"/>
          <w:lang w:eastAsia="en-GB"/>
        </w:rPr>
        <w:t>doors, windows and locks</w:t>
      </w:r>
      <w:r w:rsidR="007B560C">
        <w:rPr>
          <w:rFonts w:eastAsia="Times New Roman" w:cs="Arial"/>
          <w:lang w:eastAsia="en-GB"/>
        </w:rPr>
        <w:t xml:space="preserve"> including damage to property caused by Police justifiably executing a warrant </w:t>
      </w:r>
    </w:p>
    <w:p w:rsidR="00DF6709" w:rsidRDefault="00DF6709"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electrical faults caused by a tenants own appliances</w:t>
      </w:r>
    </w:p>
    <w:p w:rsidR="00DF6709" w:rsidRDefault="00DF6709" w:rsidP="00DF6709">
      <w:pPr>
        <w:pStyle w:val="ListParagraph"/>
        <w:numPr>
          <w:ilvl w:val="0"/>
          <w:numId w:val="3"/>
        </w:numPr>
        <w:autoSpaceDE w:val="0"/>
        <w:autoSpaceDN w:val="0"/>
        <w:adjustRightInd w:val="0"/>
        <w:spacing w:after="0" w:line="240" w:lineRule="auto"/>
        <w:jc w:val="both"/>
        <w:rPr>
          <w:rFonts w:eastAsia="Times New Roman" w:cs="Arial"/>
          <w:lang w:eastAsia="en-GB"/>
        </w:rPr>
      </w:pPr>
      <w:proofErr w:type="gramStart"/>
      <w:r>
        <w:rPr>
          <w:rFonts w:eastAsia="Times New Roman" w:cs="Arial"/>
          <w:lang w:eastAsia="en-GB"/>
        </w:rPr>
        <w:t>blocked</w:t>
      </w:r>
      <w:proofErr w:type="gramEnd"/>
      <w:r>
        <w:rPr>
          <w:rFonts w:eastAsia="Times New Roman" w:cs="Arial"/>
          <w:lang w:eastAsia="en-GB"/>
        </w:rPr>
        <w:t xml:space="preserve"> drains, sinks, toilets, baths and showers caused by food waste, excessive build up of grease from cooking, sanitary items etc.</w:t>
      </w:r>
    </w:p>
    <w:p w:rsidR="00DF6709" w:rsidRDefault="00DF6709"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broken windows</w:t>
      </w:r>
    </w:p>
    <w:p w:rsidR="00DF6709" w:rsidRDefault="00DF6709"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deliberately damaged fixtures and fittings</w:t>
      </w:r>
    </w:p>
    <w:p w:rsidR="00DF6709" w:rsidRDefault="00DF6709"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unauthorised alterations or building works</w:t>
      </w:r>
      <w:bookmarkStart w:id="1" w:name="_GoBack"/>
      <w:bookmarkEnd w:id="1"/>
    </w:p>
    <w:p w:rsidR="00DF6709" w:rsidRDefault="00DF6709"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acts of vandalism or neglect</w:t>
      </w:r>
      <w:r w:rsidR="007B560C">
        <w:rPr>
          <w:rFonts w:eastAsia="Times New Roman" w:cs="Arial"/>
          <w:lang w:eastAsia="en-GB"/>
        </w:rPr>
        <w:t xml:space="preserve"> including graffiti</w:t>
      </w:r>
    </w:p>
    <w:p w:rsidR="00DF6709" w:rsidRDefault="00DF6709"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forced entry/lock changes </w:t>
      </w:r>
      <w:r w:rsidR="003F1A2A">
        <w:rPr>
          <w:rFonts w:eastAsia="Times New Roman" w:cs="Arial"/>
          <w:lang w:eastAsia="en-GB"/>
        </w:rPr>
        <w:t>unless due to a crime and a crime reference number provided</w:t>
      </w:r>
    </w:p>
    <w:p w:rsidR="00DF6709" w:rsidRDefault="00DF6709" w:rsidP="00DF6709">
      <w:pPr>
        <w:pStyle w:val="ListParagraph"/>
        <w:numPr>
          <w:ilvl w:val="0"/>
          <w:numId w:val="3"/>
        </w:numPr>
        <w:autoSpaceDE w:val="0"/>
        <w:autoSpaceDN w:val="0"/>
        <w:adjustRightInd w:val="0"/>
        <w:spacing w:after="0" w:line="240" w:lineRule="auto"/>
        <w:jc w:val="both"/>
        <w:rPr>
          <w:rFonts w:eastAsia="Times New Roman" w:cs="Arial"/>
          <w:lang w:eastAsia="en-GB"/>
        </w:rPr>
      </w:pPr>
      <w:proofErr w:type="spellStart"/>
      <w:r>
        <w:rPr>
          <w:rFonts w:eastAsia="Times New Roman" w:cs="Arial"/>
          <w:lang w:eastAsia="en-GB"/>
        </w:rPr>
        <w:t>refixing</w:t>
      </w:r>
      <w:proofErr w:type="spellEnd"/>
      <w:r>
        <w:rPr>
          <w:rFonts w:eastAsia="Times New Roman" w:cs="Arial"/>
          <w:lang w:eastAsia="en-GB"/>
        </w:rPr>
        <w:t xml:space="preserve"> radiators</w:t>
      </w:r>
      <w:r w:rsidR="003F1A2A">
        <w:rPr>
          <w:rFonts w:eastAsia="Times New Roman" w:cs="Arial"/>
          <w:lang w:eastAsia="en-GB"/>
        </w:rPr>
        <w:t xml:space="preserve"> due to abuse/neglect or after being removed by a tenant for any reason</w:t>
      </w:r>
    </w:p>
    <w:p w:rsidR="00DF6709" w:rsidRDefault="00DF6709"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replacing broken/damaged sockets and switches</w:t>
      </w:r>
    </w:p>
    <w:p w:rsidR="00DF6709" w:rsidRDefault="00DF6709"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renewal of </w:t>
      </w:r>
      <w:r w:rsidR="002F0FAC">
        <w:rPr>
          <w:rFonts w:eastAsia="Times New Roman" w:cs="Arial"/>
          <w:lang w:eastAsia="en-GB"/>
        </w:rPr>
        <w:t xml:space="preserve">damaged </w:t>
      </w:r>
      <w:r>
        <w:rPr>
          <w:rFonts w:eastAsia="Times New Roman" w:cs="Arial"/>
          <w:lang w:eastAsia="en-GB"/>
        </w:rPr>
        <w:t>bath panels</w:t>
      </w:r>
    </w:p>
    <w:p w:rsidR="00DF6709" w:rsidRDefault="00DF6709"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damaged kitchen units</w:t>
      </w:r>
    </w:p>
    <w:p w:rsidR="00DF6709" w:rsidRDefault="00DF6709"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damaged toilets, sinks</w:t>
      </w:r>
      <w:r w:rsidR="00367507">
        <w:rPr>
          <w:rFonts w:eastAsia="Times New Roman" w:cs="Arial"/>
          <w:lang w:eastAsia="en-GB"/>
        </w:rPr>
        <w:t xml:space="preserve">, </w:t>
      </w:r>
      <w:r>
        <w:rPr>
          <w:rFonts w:eastAsia="Times New Roman" w:cs="Arial"/>
          <w:lang w:eastAsia="en-GB"/>
        </w:rPr>
        <w:t>baths</w:t>
      </w:r>
      <w:r w:rsidR="00367507">
        <w:rPr>
          <w:rFonts w:eastAsia="Times New Roman" w:cs="Arial"/>
          <w:lang w:eastAsia="en-GB"/>
        </w:rPr>
        <w:t xml:space="preserve"> and wall tiles</w:t>
      </w:r>
    </w:p>
    <w:p w:rsidR="007B560C" w:rsidRDefault="007B560C"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dumped rubbish or hazardous substances within any communal areas at or near the premises including garages or in any place other than a designated refuse amenity site</w:t>
      </w:r>
    </w:p>
    <w:p w:rsidR="007B560C" w:rsidRDefault="007B560C"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failure to keep communal areas clean, tidy and free from obstruction</w:t>
      </w:r>
    </w:p>
    <w:p w:rsidR="007B560C" w:rsidRDefault="007B560C"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t>f</w:t>
      </w:r>
      <w:r w:rsidR="00B92174">
        <w:rPr>
          <w:rFonts w:eastAsia="Times New Roman" w:cs="Arial"/>
          <w:lang w:eastAsia="en-GB"/>
        </w:rPr>
        <w:t>ailure to keep garden areas neat and free from rubbish</w:t>
      </w:r>
    </w:p>
    <w:p w:rsidR="00B92174" w:rsidRDefault="00B92174" w:rsidP="00DF6709">
      <w:pPr>
        <w:pStyle w:val="ListParagraph"/>
        <w:numPr>
          <w:ilvl w:val="0"/>
          <w:numId w:val="3"/>
        </w:numPr>
        <w:autoSpaceDE w:val="0"/>
        <w:autoSpaceDN w:val="0"/>
        <w:adjustRightInd w:val="0"/>
        <w:spacing w:after="0" w:line="240" w:lineRule="auto"/>
        <w:jc w:val="both"/>
        <w:rPr>
          <w:rFonts w:eastAsia="Times New Roman" w:cs="Arial"/>
          <w:lang w:eastAsia="en-GB"/>
        </w:rPr>
      </w:pPr>
      <w:r>
        <w:rPr>
          <w:rFonts w:eastAsia="Times New Roman" w:cs="Arial"/>
          <w:lang w:eastAsia="en-GB"/>
        </w:rPr>
        <w:lastRenderedPageBreak/>
        <w:t>failure to cut lawns, trim hedges and other garden greenery</w:t>
      </w:r>
    </w:p>
    <w:p w:rsidR="00312CBF" w:rsidRDefault="00312CBF" w:rsidP="00312CBF">
      <w:pPr>
        <w:pStyle w:val="ListParagraph"/>
        <w:autoSpaceDE w:val="0"/>
        <w:autoSpaceDN w:val="0"/>
        <w:adjustRightInd w:val="0"/>
        <w:spacing w:after="0" w:line="240" w:lineRule="auto"/>
        <w:jc w:val="both"/>
        <w:rPr>
          <w:rFonts w:eastAsia="Times New Roman" w:cs="Arial"/>
          <w:lang w:eastAsia="en-GB"/>
        </w:rPr>
      </w:pPr>
    </w:p>
    <w:p w:rsidR="00312CBF" w:rsidRDefault="00312CBF" w:rsidP="00312CBF">
      <w:pPr>
        <w:autoSpaceDE w:val="0"/>
        <w:autoSpaceDN w:val="0"/>
        <w:adjustRightInd w:val="0"/>
        <w:spacing w:after="0" w:line="240" w:lineRule="auto"/>
        <w:jc w:val="both"/>
        <w:rPr>
          <w:rFonts w:eastAsia="Times New Roman" w:cs="Arial"/>
          <w:lang w:eastAsia="en-GB"/>
        </w:rPr>
      </w:pPr>
      <w:r>
        <w:rPr>
          <w:rFonts w:eastAsia="Times New Roman" w:cs="Arial"/>
          <w:lang w:eastAsia="en-GB"/>
        </w:rPr>
        <w:t>We also reserve the right to charge for any additional costs related to service requests.  Examples include:</w:t>
      </w:r>
    </w:p>
    <w:p w:rsidR="00312CBF" w:rsidRDefault="00312CBF" w:rsidP="00312CBF">
      <w:pPr>
        <w:autoSpaceDE w:val="0"/>
        <w:autoSpaceDN w:val="0"/>
        <w:adjustRightInd w:val="0"/>
        <w:spacing w:after="0" w:line="240" w:lineRule="auto"/>
        <w:jc w:val="both"/>
        <w:rPr>
          <w:rFonts w:eastAsia="Times New Roman" w:cs="Arial"/>
          <w:lang w:eastAsia="en-GB"/>
        </w:rPr>
      </w:pPr>
    </w:p>
    <w:p w:rsidR="00312CBF" w:rsidRDefault="00312CBF" w:rsidP="00312CBF">
      <w:pPr>
        <w:pStyle w:val="ListParagraph"/>
        <w:numPr>
          <w:ilvl w:val="0"/>
          <w:numId w:val="4"/>
        </w:numPr>
        <w:autoSpaceDE w:val="0"/>
        <w:autoSpaceDN w:val="0"/>
        <w:adjustRightInd w:val="0"/>
        <w:spacing w:after="0" w:line="240" w:lineRule="auto"/>
        <w:jc w:val="both"/>
        <w:rPr>
          <w:rFonts w:eastAsia="Times New Roman" w:cs="Arial"/>
          <w:lang w:eastAsia="en-GB"/>
        </w:rPr>
      </w:pPr>
      <w:r>
        <w:rPr>
          <w:rFonts w:eastAsia="Times New Roman" w:cs="Arial"/>
          <w:lang w:eastAsia="en-GB"/>
        </w:rPr>
        <w:t>failure to allow access to a contractor on an agreed date</w:t>
      </w:r>
    </w:p>
    <w:p w:rsidR="00312CBF" w:rsidRDefault="00312CBF" w:rsidP="00312CBF">
      <w:pPr>
        <w:pStyle w:val="ListParagraph"/>
        <w:numPr>
          <w:ilvl w:val="0"/>
          <w:numId w:val="4"/>
        </w:numPr>
        <w:autoSpaceDE w:val="0"/>
        <w:autoSpaceDN w:val="0"/>
        <w:adjustRightInd w:val="0"/>
        <w:spacing w:after="0" w:line="240" w:lineRule="auto"/>
        <w:jc w:val="both"/>
        <w:rPr>
          <w:rFonts w:eastAsia="Times New Roman" w:cs="Arial"/>
          <w:lang w:eastAsia="en-GB"/>
        </w:rPr>
      </w:pPr>
      <w:r>
        <w:rPr>
          <w:rFonts w:eastAsia="Times New Roman" w:cs="Arial"/>
          <w:lang w:eastAsia="en-GB"/>
        </w:rPr>
        <w:t>failure to inform us if the repair is no longer required</w:t>
      </w:r>
    </w:p>
    <w:p w:rsidR="00312CBF" w:rsidRDefault="00312CBF" w:rsidP="00312CBF">
      <w:pPr>
        <w:pStyle w:val="ListParagraph"/>
        <w:numPr>
          <w:ilvl w:val="0"/>
          <w:numId w:val="4"/>
        </w:numPr>
        <w:autoSpaceDE w:val="0"/>
        <w:autoSpaceDN w:val="0"/>
        <w:adjustRightInd w:val="0"/>
        <w:spacing w:after="0" w:line="240" w:lineRule="auto"/>
        <w:jc w:val="both"/>
        <w:rPr>
          <w:rFonts w:eastAsia="Times New Roman" w:cs="Arial"/>
          <w:lang w:eastAsia="en-GB"/>
        </w:rPr>
      </w:pPr>
      <w:r>
        <w:rPr>
          <w:rFonts w:eastAsia="Times New Roman" w:cs="Arial"/>
          <w:lang w:eastAsia="en-GB"/>
        </w:rPr>
        <w:t>misrepresentation of the urgency of a repair to obtain an emergency response during normal working hours and/or out of hours</w:t>
      </w:r>
    </w:p>
    <w:p w:rsidR="00312CBF" w:rsidRDefault="00312CBF" w:rsidP="00312CBF">
      <w:pPr>
        <w:pStyle w:val="ListParagraph"/>
        <w:numPr>
          <w:ilvl w:val="0"/>
          <w:numId w:val="4"/>
        </w:numPr>
        <w:autoSpaceDE w:val="0"/>
        <w:autoSpaceDN w:val="0"/>
        <w:adjustRightInd w:val="0"/>
        <w:spacing w:after="0" w:line="240" w:lineRule="auto"/>
        <w:jc w:val="both"/>
        <w:rPr>
          <w:rFonts w:eastAsia="Times New Roman" w:cs="Arial"/>
          <w:lang w:eastAsia="en-GB"/>
        </w:rPr>
      </w:pPr>
      <w:r>
        <w:rPr>
          <w:rFonts w:eastAsia="Times New Roman" w:cs="Arial"/>
          <w:lang w:eastAsia="en-GB"/>
        </w:rPr>
        <w:t>failure to remove belongings to enable work to be undertaken</w:t>
      </w:r>
    </w:p>
    <w:p w:rsidR="00312CBF" w:rsidRPr="00FE4926" w:rsidRDefault="00312CBF" w:rsidP="00312CBF">
      <w:pPr>
        <w:pStyle w:val="ListParagraph"/>
        <w:numPr>
          <w:ilvl w:val="0"/>
          <w:numId w:val="4"/>
        </w:numPr>
        <w:autoSpaceDE w:val="0"/>
        <w:autoSpaceDN w:val="0"/>
        <w:adjustRightInd w:val="0"/>
        <w:spacing w:after="0" w:line="240" w:lineRule="auto"/>
        <w:jc w:val="both"/>
        <w:rPr>
          <w:rFonts w:eastAsia="Times New Roman" w:cs="Arial"/>
          <w:lang w:eastAsia="en-GB"/>
        </w:rPr>
      </w:pPr>
      <w:r>
        <w:rPr>
          <w:rFonts w:eastAsia="Times New Roman" w:cs="Arial"/>
          <w:lang w:eastAsia="en-GB"/>
        </w:rPr>
        <w:t>failure to provide a safe, clean, smoke free environment for our employees and contractors to work in</w:t>
      </w:r>
    </w:p>
    <w:p w:rsidR="00312CBF" w:rsidRDefault="00312CBF" w:rsidP="00312CBF">
      <w:pPr>
        <w:autoSpaceDE w:val="0"/>
        <w:autoSpaceDN w:val="0"/>
        <w:adjustRightInd w:val="0"/>
        <w:spacing w:after="0" w:line="240" w:lineRule="auto"/>
        <w:jc w:val="both"/>
        <w:rPr>
          <w:rFonts w:eastAsia="Times New Roman" w:cs="Arial"/>
          <w:lang w:eastAsia="en-GB"/>
        </w:rPr>
      </w:pPr>
    </w:p>
    <w:p w:rsidR="00BE0101" w:rsidRPr="00892CBD" w:rsidRDefault="00134207" w:rsidP="00BE0101">
      <w:pPr>
        <w:spacing w:after="0" w:line="240" w:lineRule="auto"/>
        <w:jc w:val="both"/>
        <w:rPr>
          <w:rFonts w:eastAsia="Times New Roman" w:cs="Arial"/>
          <w:lang w:eastAsia="en-GB"/>
        </w:rPr>
      </w:pPr>
      <w:r>
        <w:rPr>
          <w:rFonts w:eastAsiaTheme="majorEastAsia" w:cstheme="majorBidi"/>
          <w:b/>
          <w:bCs/>
        </w:rPr>
        <w:t>4</w:t>
      </w:r>
      <w:r w:rsidR="00892CBD" w:rsidRPr="00892CBD">
        <w:rPr>
          <w:rFonts w:eastAsiaTheme="majorEastAsia" w:cstheme="majorBidi"/>
          <w:b/>
          <w:bCs/>
        </w:rPr>
        <w:t xml:space="preserve">.0 </w:t>
      </w:r>
      <w:r w:rsidR="00BE0101" w:rsidRPr="00892CBD">
        <w:rPr>
          <w:rFonts w:eastAsiaTheme="majorEastAsia" w:cstheme="majorBidi"/>
          <w:b/>
          <w:bCs/>
        </w:rPr>
        <w:t>Process</w:t>
      </w:r>
    </w:p>
    <w:p w:rsidR="00BE0101" w:rsidRDefault="00BE0101" w:rsidP="00D76AAB">
      <w:pPr>
        <w:autoSpaceDE w:val="0"/>
        <w:autoSpaceDN w:val="0"/>
        <w:adjustRightInd w:val="0"/>
        <w:spacing w:after="0" w:line="240" w:lineRule="auto"/>
        <w:jc w:val="both"/>
        <w:rPr>
          <w:rFonts w:eastAsia="Times New Roman" w:cs="Arial"/>
          <w:lang w:eastAsia="en-GB"/>
        </w:rPr>
      </w:pPr>
    </w:p>
    <w:p w:rsidR="00D76AAB" w:rsidRDefault="00D76AAB" w:rsidP="00D76AAB">
      <w:pPr>
        <w:autoSpaceDE w:val="0"/>
        <w:autoSpaceDN w:val="0"/>
        <w:adjustRightInd w:val="0"/>
        <w:spacing w:after="0" w:line="240" w:lineRule="auto"/>
        <w:jc w:val="both"/>
        <w:rPr>
          <w:rFonts w:eastAsia="Times New Roman" w:cs="Arial"/>
          <w:lang w:eastAsia="en-GB"/>
        </w:rPr>
      </w:pPr>
      <w:r>
        <w:rPr>
          <w:rFonts w:eastAsia="Times New Roman" w:cs="Arial"/>
          <w:lang w:eastAsia="en-GB"/>
        </w:rPr>
        <w:t xml:space="preserve">Some </w:t>
      </w:r>
      <w:r w:rsidR="00B92174">
        <w:rPr>
          <w:rFonts w:eastAsia="Times New Roman" w:cs="Arial"/>
          <w:lang w:eastAsia="en-GB"/>
        </w:rPr>
        <w:t>service</w:t>
      </w:r>
      <w:r>
        <w:rPr>
          <w:rFonts w:eastAsia="Times New Roman" w:cs="Arial"/>
          <w:lang w:eastAsia="en-GB"/>
        </w:rPr>
        <w:t xml:space="preserve"> requests will be made via the Out of Hours Service (OOH).  In relevant circumstances OOH </w:t>
      </w:r>
      <w:r w:rsidR="003270DC">
        <w:rPr>
          <w:rFonts w:eastAsia="Times New Roman" w:cs="Arial"/>
          <w:lang w:eastAsia="en-GB"/>
        </w:rPr>
        <w:t xml:space="preserve">operators </w:t>
      </w:r>
      <w:r>
        <w:rPr>
          <w:rFonts w:eastAsia="Times New Roman" w:cs="Arial"/>
          <w:lang w:eastAsia="en-GB"/>
        </w:rPr>
        <w:t xml:space="preserve">will advise tenants that the </w:t>
      </w:r>
      <w:r w:rsidR="00B92174" w:rsidRPr="003270DC">
        <w:rPr>
          <w:rFonts w:eastAsia="Times New Roman" w:cs="Arial"/>
          <w:lang w:eastAsia="en-GB"/>
        </w:rPr>
        <w:t>service</w:t>
      </w:r>
      <w:r>
        <w:rPr>
          <w:rFonts w:eastAsia="Times New Roman" w:cs="Arial"/>
          <w:lang w:eastAsia="en-GB"/>
        </w:rPr>
        <w:t xml:space="preserve"> they are requesting may be subject to a recharge.  In </w:t>
      </w:r>
      <w:r w:rsidR="00B92174">
        <w:rPr>
          <w:rFonts w:eastAsia="Times New Roman" w:cs="Arial"/>
          <w:lang w:eastAsia="en-GB"/>
        </w:rPr>
        <w:t>some instances</w:t>
      </w:r>
      <w:r w:rsidR="0020538B">
        <w:rPr>
          <w:rFonts w:eastAsia="Times New Roman" w:cs="Arial"/>
          <w:lang w:eastAsia="en-GB"/>
        </w:rPr>
        <w:t xml:space="preserve"> work</w:t>
      </w:r>
      <w:r>
        <w:rPr>
          <w:rFonts w:eastAsia="Times New Roman" w:cs="Arial"/>
          <w:lang w:eastAsia="en-GB"/>
        </w:rPr>
        <w:t xml:space="preserve"> may be carried out before we are aware of it.  The OOH daily reports must be checked to identify recharge</w:t>
      </w:r>
      <w:r w:rsidR="0020538B">
        <w:rPr>
          <w:rFonts w:eastAsia="Times New Roman" w:cs="Arial"/>
          <w:lang w:eastAsia="en-GB"/>
        </w:rPr>
        <w:t xml:space="preserve">s </w:t>
      </w:r>
      <w:r>
        <w:rPr>
          <w:rFonts w:eastAsia="Times New Roman" w:cs="Arial"/>
          <w:lang w:eastAsia="en-GB"/>
        </w:rPr>
        <w:t>and</w:t>
      </w:r>
      <w:r w:rsidR="00781BEB">
        <w:rPr>
          <w:rFonts w:eastAsia="Times New Roman" w:cs="Arial"/>
          <w:lang w:eastAsia="en-GB"/>
        </w:rPr>
        <w:t xml:space="preserve"> to </w:t>
      </w:r>
      <w:r>
        <w:rPr>
          <w:rFonts w:eastAsia="Times New Roman" w:cs="Arial"/>
          <w:lang w:eastAsia="en-GB"/>
        </w:rPr>
        <w:t>initiate the recharge process.</w:t>
      </w:r>
    </w:p>
    <w:p w:rsidR="008A0740" w:rsidRDefault="008A0740" w:rsidP="00D76AAB">
      <w:pPr>
        <w:autoSpaceDE w:val="0"/>
        <w:autoSpaceDN w:val="0"/>
        <w:adjustRightInd w:val="0"/>
        <w:spacing w:after="0" w:line="240" w:lineRule="auto"/>
        <w:jc w:val="both"/>
        <w:rPr>
          <w:rFonts w:eastAsia="Times New Roman" w:cs="Arial"/>
          <w:lang w:eastAsia="en-GB"/>
        </w:rPr>
      </w:pPr>
    </w:p>
    <w:p w:rsidR="00781BEB" w:rsidRPr="00C64593" w:rsidRDefault="002718B5" w:rsidP="008A0740">
      <w:pPr>
        <w:autoSpaceDE w:val="0"/>
        <w:autoSpaceDN w:val="0"/>
        <w:adjustRightInd w:val="0"/>
        <w:spacing w:after="0" w:line="240" w:lineRule="auto"/>
        <w:jc w:val="both"/>
      </w:pPr>
      <w:r>
        <w:rPr>
          <w:rFonts w:eastAsia="Times New Roman" w:cs="Arial"/>
          <w:lang w:eastAsia="en-GB"/>
        </w:rPr>
        <w:t>Generally, w</w:t>
      </w:r>
      <w:r w:rsidR="008A0740">
        <w:rPr>
          <w:rFonts w:eastAsia="Times New Roman" w:cs="Arial"/>
          <w:lang w:eastAsia="en-GB"/>
        </w:rPr>
        <w:t xml:space="preserve">here recharge work is identified, tenants are expected to rectify the issue themselves or engage their own contractor – both within a reasonable timescale.  Alternatively, One Manchester </w:t>
      </w:r>
      <w:r w:rsidR="00327F7B">
        <w:rPr>
          <w:rFonts w:eastAsia="Times New Roman" w:cs="Arial"/>
          <w:lang w:eastAsia="en-GB"/>
        </w:rPr>
        <w:t>will</w:t>
      </w:r>
      <w:r w:rsidR="008A0740">
        <w:rPr>
          <w:rFonts w:eastAsia="Times New Roman" w:cs="Arial"/>
          <w:lang w:eastAsia="en-GB"/>
        </w:rPr>
        <w:t xml:space="preserve"> carry out the work </w:t>
      </w:r>
      <w:r w:rsidR="00327F7B">
        <w:rPr>
          <w:rFonts w:eastAsia="Times New Roman" w:cs="Arial"/>
          <w:lang w:eastAsia="en-GB"/>
        </w:rPr>
        <w:t xml:space="preserve">whether advance payment is made or not </w:t>
      </w:r>
      <w:r w:rsidR="003B3BF6">
        <w:rPr>
          <w:rFonts w:eastAsia="Times New Roman" w:cs="Arial"/>
          <w:lang w:eastAsia="en-GB"/>
        </w:rPr>
        <w:t>–</w:t>
      </w:r>
      <w:r w:rsidR="00327F7B">
        <w:rPr>
          <w:rFonts w:eastAsia="Times New Roman" w:cs="Arial"/>
          <w:lang w:eastAsia="en-GB"/>
        </w:rPr>
        <w:t xml:space="preserve"> </w:t>
      </w:r>
      <w:r w:rsidR="003B3BF6">
        <w:rPr>
          <w:rFonts w:eastAsia="Times New Roman" w:cs="Arial"/>
          <w:lang w:eastAsia="en-GB"/>
        </w:rPr>
        <w:t>if not</w:t>
      </w:r>
      <w:r w:rsidR="00327F7B">
        <w:rPr>
          <w:rFonts w:eastAsia="Times New Roman" w:cs="Arial"/>
          <w:lang w:eastAsia="en-GB"/>
        </w:rPr>
        <w:t xml:space="preserve"> </w:t>
      </w:r>
      <w:r w:rsidR="004A4AD4">
        <w:rPr>
          <w:rFonts w:eastAsia="Times New Roman" w:cs="Arial"/>
          <w:lang w:eastAsia="en-GB"/>
        </w:rPr>
        <w:t xml:space="preserve">retrospective charges </w:t>
      </w:r>
      <w:r w:rsidR="00327F7B">
        <w:rPr>
          <w:rFonts w:eastAsia="Times New Roman" w:cs="Arial"/>
          <w:lang w:eastAsia="en-GB"/>
        </w:rPr>
        <w:t>will</w:t>
      </w:r>
      <w:r w:rsidR="004A4AD4">
        <w:rPr>
          <w:rFonts w:eastAsia="Times New Roman" w:cs="Arial"/>
          <w:lang w:eastAsia="en-GB"/>
        </w:rPr>
        <w:t xml:space="preserve"> be applied</w:t>
      </w:r>
      <w:r w:rsidR="00327F7B">
        <w:rPr>
          <w:rFonts w:eastAsia="Times New Roman" w:cs="Arial"/>
          <w:lang w:eastAsia="en-GB"/>
        </w:rPr>
        <w:t xml:space="preserve"> and recovered.  Where a </w:t>
      </w:r>
      <w:r w:rsidR="00781BEB">
        <w:t xml:space="preserve">tenant cannot </w:t>
      </w:r>
      <w:r w:rsidR="003B3BF6">
        <w:t xml:space="preserve">or will not </w:t>
      </w:r>
      <w:r w:rsidR="00781BEB">
        <w:t xml:space="preserve">pay in full, </w:t>
      </w:r>
      <w:r w:rsidR="004A4AD4">
        <w:t xml:space="preserve">payment instalments can be agreed with the expectation that </w:t>
      </w:r>
      <w:r w:rsidR="00781BEB">
        <w:t xml:space="preserve">the debt </w:t>
      </w:r>
      <w:r w:rsidR="004A4AD4">
        <w:t>is</w:t>
      </w:r>
      <w:r w:rsidR="00781BEB">
        <w:t xml:space="preserve"> repaid within 6 month</w:t>
      </w:r>
      <w:r w:rsidR="003748D6">
        <w:t>s of the charge being applied (</w:t>
      </w:r>
      <w:r w:rsidR="00CF063E">
        <w:t>NB - rent arrears take precedence as a priority debt).</w:t>
      </w:r>
    </w:p>
    <w:p w:rsidR="00040659" w:rsidRPr="00040659" w:rsidRDefault="00040659" w:rsidP="00040659">
      <w:pPr>
        <w:autoSpaceDE w:val="0"/>
        <w:autoSpaceDN w:val="0"/>
        <w:adjustRightInd w:val="0"/>
        <w:spacing w:after="0" w:line="240" w:lineRule="auto"/>
        <w:jc w:val="both"/>
        <w:rPr>
          <w:rFonts w:eastAsia="Times New Roman" w:cs="Arial"/>
          <w:lang w:eastAsia="en-GB"/>
        </w:rPr>
      </w:pPr>
    </w:p>
    <w:p w:rsidR="00040659" w:rsidRDefault="004A4AD4" w:rsidP="00040659">
      <w:pPr>
        <w:spacing w:after="0" w:line="240" w:lineRule="auto"/>
        <w:jc w:val="both"/>
      </w:pPr>
      <w:r>
        <w:t xml:space="preserve">If tenants </w:t>
      </w:r>
      <w:r w:rsidR="00040659" w:rsidRPr="00040659">
        <w:t xml:space="preserve">choose to complete the work themselves </w:t>
      </w:r>
      <w:r>
        <w:t xml:space="preserve">- </w:t>
      </w:r>
      <w:r w:rsidR="00040659" w:rsidRPr="00040659">
        <w:t xml:space="preserve">or </w:t>
      </w:r>
      <w:r>
        <w:t xml:space="preserve">employ their own </w:t>
      </w:r>
      <w:r w:rsidR="006316F6">
        <w:t xml:space="preserve">competent </w:t>
      </w:r>
      <w:r w:rsidR="00040659" w:rsidRPr="00040659">
        <w:t>contractor</w:t>
      </w:r>
      <w:r w:rsidR="00312CBF">
        <w:t xml:space="preserve"> </w:t>
      </w:r>
      <w:r>
        <w:t xml:space="preserve">- </w:t>
      </w:r>
      <w:r w:rsidR="00312CBF">
        <w:t>we may</w:t>
      </w:r>
      <w:r w:rsidR="00040659" w:rsidRPr="00040659">
        <w:t xml:space="preserve">, depending on the nature of the </w:t>
      </w:r>
      <w:r w:rsidR="00BE0101">
        <w:t>work</w:t>
      </w:r>
      <w:r w:rsidR="00040659" w:rsidRPr="00040659">
        <w:t xml:space="preserve">, </w:t>
      </w:r>
      <w:r>
        <w:t>ask</w:t>
      </w:r>
      <w:r w:rsidR="00040659" w:rsidRPr="00040659">
        <w:t xml:space="preserve"> to</w:t>
      </w:r>
      <w:r w:rsidR="00312CBF">
        <w:t xml:space="preserve"> post</w:t>
      </w:r>
      <w:r w:rsidR="00040659" w:rsidRPr="00040659">
        <w:t xml:space="preserve"> inspect </w:t>
      </w:r>
      <w:r w:rsidR="00BE0101">
        <w:t>it</w:t>
      </w:r>
      <w:r w:rsidR="00312CBF">
        <w:t>.</w:t>
      </w:r>
      <w:r w:rsidR="00040659" w:rsidRPr="00040659">
        <w:t xml:space="preserve">  All works involving gas or electrical installations must be undertaken by a Gas Safe or NICEIC registered contractor</w:t>
      </w:r>
      <w:r>
        <w:t xml:space="preserve"> and w</w:t>
      </w:r>
      <w:r w:rsidR="00040659" w:rsidRPr="00040659">
        <w:t>e must be provided with the original certificate/s issued by th</w:t>
      </w:r>
      <w:r>
        <w:t>at</w:t>
      </w:r>
      <w:r w:rsidR="00040659" w:rsidRPr="00040659">
        <w:t xml:space="preserve"> contractor.</w:t>
      </w:r>
    </w:p>
    <w:p w:rsidR="002E1D25" w:rsidRDefault="002E1D25" w:rsidP="00040659">
      <w:pPr>
        <w:spacing w:after="0" w:line="240" w:lineRule="auto"/>
        <w:jc w:val="both"/>
      </w:pPr>
    </w:p>
    <w:p w:rsidR="00782EAE" w:rsidRDefault="00D848BB" w:rsidP="002E1D25">
      <w:pPr>
        <w:spacing w:after="0" w:line="240" w:lineRule="auto"/>
        <w:jc w:val="both"/>
      </w:pPr>
      <w:r>
        <w:t>Poor workmanship, incompletion or non-compliance will result in One Manchester undertaking rectification work which will be recharged to the tenant</w:t>
      </w:r>
      <w:r w:rsidR="00312CBF">
        <w:t xml:space="preserve">.  </w:t>
      </w:r>
    </w:p>
    <w:p w:rsidR="00312CBF" w:rsidRDefault="00312CBF" w:rsidP="002E1D25">
      <w:pPr>
        <w:spacing w:after="0" w:line="240" w:lineRule="auto"/>
        <w:jc w:val="both"/>
      </w:pPr>
    </w:p>
    <w:p w:rsidR="00782EAE" w:rsidRPr="00040659" w:rsidRDefault="00817327" w:rsidP="002E1D25">
      <w:pPr>
        <w:spacing w:after="0" w:line="240" w:lineRule="auto"/>
        <w:jc w:val="both"/>
      </w:pPr>
      <w:r>
        <w:t>We will consider legal action for f</w:t>
      </w:r>
      <w:r w:rsidR="00782EAE">
        <w:t>ailure to allow access for work</w:t>
      </w:r>
      <w:r w:rsidR="002718B5">
        <w:t xml:space="preserve">, </w:t>
      </w:r>
      <w:r w:rsidR="00782EAE">
        <w:t>inspections</w:t>
      </w:r>
      <w:r w:rsidR="002718B5">
        <w:t xml:space="preserve"> or post inspections</w:t>
      </w:r>
      <w:r w:rsidR="00782EAE">
        <w:t>, repeated</w:t>
      </w:r>
      <w:r>
        <w:t xml:space="preserve"> property damage/rubbish dumping and poorly maintained gardens.</w:t>
      </w:r>
    </w:p>
    <w:p w:rsidR="00040659" w:rsidRPr="00040659" w:rsidRDefault="00040659" w:rsidP="00040659">
      <w:pPr>
        <w:autoSpaceDE w:val="0"/>
        <w:autoSpaceDN w:val="0"/>
        <w:adjustRightInd w:val="0"/>
        <w:spacing w:after="0" w:line="240" w:lineRule="auto"/>
        <w:jc w:val="both"/>
        <w:rPr>
          <w:rFonts w:eastAsia="Times New Roman" w:cs="Arial"/>
          <w:color w:val="595959" w:themeColor="text1" w:themeTint="A6"/>
          <w:lang w:eastAsia="en-GB"/>
        </w:rPr>
      </w:pPr>
    </w:p>
    <w:p w:rsidR="00040659" w:rsidRDefault="00C64593" w:rsidP="00781BEB">
      <w:pPr>
        <w:spacing w:after="0" w:line="240" w:lineRule="auto"/>
        <w:ind w:hanging="720"/>
        <w:jc w:val="both"/>
      </w:pPr>
      <w:r>
        <w:rPr>
          <w:color w:val="595959" w:themeColor="text1" w:themeTint="A6"/>
        </w:rPr>
        <w:tab/>
      </w:r>
      <w:r w:rsidR="00040659" w:rsidRPr="00040659">
        <w:t xml:space="preserve">Where it can be demonstrated that due to lifestyle or neglect a </w:t>
      </w:r>
      <w:r w:rsidR="00E05826">
        <w:t>tenant</w:t>
      </w:r>
      <w:r w:rsidR="00040659" w:rsidRPr="00040659">
        <w:t xml:space="preserve"> has had a disproportionately negative impact on the condition of their property compared to when the</w:t>
      </w:r>
      <w:r w:rsidR="00E05826">
        <w:t xml:space="preserve">y </w:t>
      </w:r>
      <w:r w:rsidR="00040659" w:rsidRPr="00040659">
        <w:t xml:space="preserve">first occupied </w:t>
      </w:r>
      <w:r w:rsidR="00E05826">
        <w:t xml:space="preserve">it, </w:t>
      </w:r>
      <w:r w:rsidR="00312CBF">
        <w:t xml:space="preserve">we may exclude </w:t>
      </w:r>
      <w:r w:rsidR="00040659" w:rsidRPr="00040659">
        <w:t>the property from planned improvement programmes and further repairs limited to statutory repairs only.</w:t>
      </w:r>
    </w:p>
    <w:p w:rsidR="00540692" w:rsidRDefault="00540692" w:rsidP="00781BEB">
      <w:pPr>
        <w:spacing w:after="0" w:line="240" w:lineRule="auto"/>
        <w:ind w:hanging="720"/>
        <w:jc w:val="both"/>
      </w:pPr>
    </w:p>
    <w:p w:rsidR="006A0BA7" w:rsidRDefault="00540692" w:rsidP="00782EAE">
      <w:pPr>
        <w:spacing w:after="0" w:line="240" w:lineRule="auto"/>
        <w:ind w:hanging="720"/>
        <w:jc w:val="both"/>
      </w:pPr>
      <w:r>
        <w:tab/>
      </w:r>
      <w:r w:rsidR="00490A49" w:rsidRPr="007947C0">
        <w:t xml:space="preserve">Tenants will not be able to transfer if they have an outstanding recharge debt </w:t>
      </w:r>
      <w:r w:rsidR="00CF063E">
        <w:t>and/or other housing related debt over £500 and/</w:t>
      </w:r>
      <w:r w:rsidR="00490A49" w:rsidRPr="007947C0">
        <w:t xml:space="preserve">or fail a property inspection.  </w:t>
      </w:r>
      <w:r w:rsidR="006A0BA7">
        <w:t>Unpaid debt due to recharges may result in legal action being taken for breach of tenancy agreement.</w:t>
      </w:r>
    </w:p>
    <w:p w:rsidR="00490A49" w:rsidRDefault="00490A49" w:rsidP="00782EAE">
      <w:pPr>
        <w:spacing w:after="0" w:line="240" w:lineRule="auto"/>
        <w:ind w:hanging="720"/>
        <w:jc w:val="both"/>
      </w:pPr>
      <w:r w:rsidRPr="007947C0">
        <w:t xml:space="preserve">  </w:t>
      </w:r>
    </w:p>
    <w:p w:rsidR="00FE1BF2" w:rsidRDefault="00FE1BF2" w:rsidP="00782EAE">
      <w:pPr>
        <w:spacing w:after="0" w:line="240" w:lineRule="auto"/>
        <w:ind w:hanging="720"/>
        <w:jc w:val="both"/>
      </w:pPr>
    </w:p>
    <w:p w:rsidR="00510CCA" w:rsidRPr="00892CBD" w:rsidRDefault="00CF063E" w:rsidP="00040659">
      <w:pPr>
        <w:spacing w:after="0" w:line="240" w:lineRule="auto"/>
        <w:jc w:val="both"/>
        <w:rPr>
          <w:b/>
        </w:rPr>
      </w:pPr>
      <w:r>
        <w:rPr>
          <w:b/>
        </w:rPr>
        <w:lastRenderedPageBreak/>
        <w:t>5</w:t>
      </w:r>
      <w:r w:rsidR="00892CBD" w:rsidRPr="00892CBD">
        <w:rPr>
          <w:b/>
        </w:rPr>
        <w:t xml:space="preserve">.0 </w:t>
      </w:r>
      <w:r w:rsidR="00ED1C92" w:rsidRPr="00892CBD">
        <w:rPr>
          <w:b/>
        </w:rPr>
        <w:t>Void Properties</w:t>
      </w:r>
    </w:p>
    <w:p w:rsidR="00510CCA" w:rsidRPr="00510CCA" w:rsidRDefault="00510CCA" w:rsidP="00040659">
      <w:pPr>
        <w:spacing w:after="0" w:line="240" w:lineRule="auto"/>
        <w:jc w:val="both"/>
        <w:rPr>
          <w:b/>
          <w:color w:val="2BA39F"/>
        </w:rPr>
      </w:pPr>
    </w:p>
    <w:p w:rsidR="00510CCA" w:rsidRDefault="00CF063E" w:rsidP="00040659">
      <w:pPr>
        <w:spacing w:after="0" w:line="240" w:lineRule="auto"/>
        <w:jc w:val="both"/>
      </w:pPr>
      <w:r>
        <w:t>5</w:t>
      </w:r>
      <w:r w:rsidR="00892CBD" w:rsidRPr="00D61362">
        <w:t xml:space="preserve">.1 </w:t>
      </w:r>
      <w:r w:rsidR="00510CCA" w:rsidRPr="00D61362">
        <w:t>Pre-termination stage</w:t>
      </w:r>
    </w:p>
    <w:p w:rsidR="002E74A4" w:rsidRDefault="002E74A4" w:rsidP="00040659">
      <w:pPr>
        <w:spacing w:after="0" w:line="240" w:lineRule="auto"/>
        <w:jc w:val="both"/>
      </w:pPr>
    </w:p>
    <w:p w:rsidR="002E74A4" w:rsidRPr="00D61362" w:rsidRDefault="002E74A4" w:rsidP="00040659">
      <w:pPr>
        <w:spacing w:after="0" w:line="240" w:lineRule="auto"/>
        <w:jc w:val="both"/>
      </w:pPr>
      <w:r>
        <w:t>5.1.</w:t>
      </w:r>
      <w:r w:rsidR="00576405">
        <w:t>1</w:t>
      </w:r>
      <w:r>
        <w:t xml:space="preserve"> Transfer applicant </w:t>
      </w:r>
      <w:r w:rsidR="00576405">
        <w:t>moving to non-partner tenure</w:t>
      </w:r>
    </w:p>
    <w:p w:rsidR="00510CCA" w:rsidRPr="00D61362" w:rsidRDefault="00510CCA" w:rsidP="00040659">
      <w:pPr>
        <w:spacing w:after="0" w:line="240" w:lineRule="auto"/>
        <w:jc w:val="both"/>
      </w:pPr>
    </w:p>
    <w:p w:rsidR="00510CCA" w:rsidRDefault="00424A89" w:rsidP="00040659">
      <w:pPr>
        <w:spacing w:after="0" w:line="240" w:lineRule="auto"/>
        <w:jc w:val="both"/>
      </w:pPr>
      <w:r>
        <w:t xml:space="preserve">When a tenant </w:t>
      </w:r>
      <w:r w:rsidR="00750F81">
        <w:t>gives</w:t>
      </w:r>
      <w:r>
        <w:t xml:space="preserve"> notice </w:t>
      </w:r>
      <w:r w:rsidR="00750F81">
        <w:t>of tenancy termination,</w:t>
      </w:r>
      <w:r>
        <w:t xml:space="preserve"> </w:t>
      </w:r>
      <w:r w:rsidR="00D61362">
        <w:t>we</w:t>
      </w:r>
      <w:r>
        <w:t xml:space="preserve"> will arrange to carry out a property </w:t>
      </w:r>
      <w:r w:rsidR="00FE06DF">
        <w:t xml:space="preserve">and garden </w:t>
      </w:r>
      <w:r>
        <w:t xml:space="preserve">inspection to identify </w:t>
      </w:r>
      <w:r w:rsidR="001E4269">
        <w:t>pote</w:t>
      </w:r>
      <w:r>
        <w:t>ntial rechargeable works.</w:t>
      </w:r>
      <w:r w:rsidR="00D61362">
        <w:t xml:space="preserve">  </w:t>
      </w:r>
      <w:r w:rsidR="00750F81">
        <w:t>If identified, t</w:t>
      </w:r>
      <w:r>
        <w:t xml:space="preserve">enants </w:t>
      </w:r>
      <w:r w:rsidR="00750F81">
        <w:t xml:space="preserve">have </w:t>
      </w:r>
      <w:r>
        <w:t xml:space="preserve">the opportunity to undertake the work themselves with the requirement that the quality of work </w:t>
      </w:r>
      <w:r w:rsidR="00D61362">
        <w:t>is</w:t>
      </w:r>
      <w:r>
        <w:t xml:space="preserve"> satisfactory.  </w:t>
      </w:r>
      <w:r w:rsidR="00141818">
        <w:t>Any recharge items will be photographed, itemised</w:t>
      </w:r>
      <w:r w:rsidR="00D61362">
        <w:t xml:space="preserve">, </w:t>
      </w:r>
      <w:r w:rsidR="00141818">
        <w:t xml:space="preserve">costed and sent to the tenant </w:t>
      </w:r>
      <w:r w:rsidR="001E4269">
        <w:t>during the notice period</w:t>
      </w:r>
      <w:r w:rsidR="00141818">
        <w:t xml:space="preserve">. </w:t>
      </w:r>
      <w:r w:rsidR="001E4269">
        <w:t>All tenants must be informed that if additional/recharges are found once they have ended their tenancy the cost will be added to any original recharge balance.  If the tenant chooses not to do the work themselves payment is due in the notice period.  I</w:t>
      </w:r>
      <w:r w:rsidR="00141818">
        <w:t xml:space="preserve">f payment is not made before tenancy termination– or the work not completed - the debt will be added to </w:t>
      </w:r>
      <w:r w:rsidR="001E4269">
        <w:t xml:space="preserve">a </w:t>
      </w:r>
      <w:r w:rsidR="00141818">
        <w:t xml:space="preserve">former tenant account and the tenant placed on the Rehousing Review List </w:t>
      </w:r>
      <w:r w:rsidR="00B85C27">
        <w:t xml:space="preserve">(RRL) </w:t>
      </w:r>
      <w:r w:rsidR="00141818">
        <w:t>until the debt is cleared</w:t>
      </w:r>
      <w:r w:rsidR="001E4269">
        <w:t>.</w:t>
      </w:r>
    </w:p>
    <w:p w:rsidR="00576405" w:rsidRDefault="00576405" w:rsidP="00040659">
      <w:pPr>
        <w:spacing w:after="0" w:line="240" w:lineRule="auto"/>
        <w:jc w:val="both"/>
      </w:pPr>
    </w:p>
    <w:p w:rsidR="00576405" w:rsidRDefault="00576405" w:rsidP="00040659">
      <w:pPr>
        <w:spacing w:after="0" w:line="240" w:lineRule="auto"/>
        <w:jc w:val="both"/>
      </w:pPr>
      <w:proofErr w:type="gramStart"/>
      <w:r>
        <w:t>5.1.2  Transfer</w:t>
      </w:r>
      <w:proofErr w:type="gramEnd"/>
      <w:r>
        <w:t xml:space="preserve"> applicant offered another One Manchester property</w:t>
      </w:r>
    </w:p>
    <w:p w:rsidR="00576405" w:rsidRDefault="00576405" w:rsidP="00040659">
      <w:pPr>
        <w:spacing w:after="0" w:line="240" w:lineRule="auto"/>
        <w:jc w:val="both"/>
      </w:pPr>
    </w:p>
    <w:p w:rsidR="00576405" w:rsidRDefault="00576405" w:rsidP="00040659">
      <w:pPr>
        <w:spacing w:after="0" w:line="240" w:lineRule="auto"/>
        <w:jc w:val="both"/>
      </w:pPr>
      <w:r>
        <w:t xml:space="preserve">Tenants offered another One Manchester property must </w:t>
      </w:r>
      <w:r w:rsidR="00FE5FAA">
        <w:t>pass a property inspection as above unless there are exceptional reasons for exemption.  If the inspection fails this policy will be applied, the offer withdrawn and the tenant placed on the RRL until the situation has been rectified.</w:t>
      </w:r>
    </w:p>
    <w:p w:rsidR="00FE5FAA" w:rsidRDefault="00FE5FAA" w:rsidP="00040659">
      <w:pPr>
        <w:spacing w:after="0" w:line="240" w:lineRule="auto"/>
        <w:jc w:val="both"/>
      </w:pPr>
    </w:p>
    <w:p w:rsidR="00FE5FAA" w:rsidRDefault="00FE5FAA" w:rsidP="00040659">
      <w:pPr>
        <w:spacing w:after="0" w:line="240" w:lineRule="auto"/>
        <w:jc w:val="both"/>
      </w:pPr>
      <w:proofErr w:type="gramStart"/>
      <w:r>
        <w:t>5.1.2  Transfer</w:t>
      </w:r>
      <w:proofErr w:type="gramEnd"/>
      <w:r>
        <w:t xml:space="preserve"> applicant offered a Manchester Move partner property</w:t>
      </w:r>
    </w:p>
    <w:p w:rsidR="00FE5FAA" w:rsidRDefault="00FE5FAA" w:rsidP="00040659">
      <w:pPr>
        <w:spacing w:after="0" w:line="240" w:lineRule="auto"/>
        <w:jc w:val="both"/>
      </w:pPr>
    </w:p>
    <w:p w:rsidR="00FE5FAA" w:rsidRDefault="00FE5FAA" w:rsidP="00040659">
      <w:pPr>
        <w:spacing w:after="0" w:line="240" w:lineRule="auto"/>
        <w:jc w:val="both"/>
      </w:pPr>
      <w:r>
        <w:t>Tenants offered a property by a partner organisation must also pass a property inspection as above unless there are exceptional reasons for exemption.  If the inspection fails the partner organisation will be informed with the expectation that the offer is withdrawn.  Again, this policy will be applied and the tenant placed on the RRL until the situation has been rectified.</w:t>
      </w:r>
    </w:p>
    <w:p w:rsidR="001E4269" w:rsidRDefault="001E4269" w:rsidP="00040659">
      <w:pPr>
        <w:spacing w:after="0" w:line="240" w:lineRule="auto"/>
        <w:jc w:val="both"/>
        <w:rPr>
          <w:b/>
        </w:rPr>
      </w:pPr>
    </w:p>
    <w:p w:rsidR="00510CCA" w:rsidRPr="00D61362" w:rsidRDefault="00CF063E" w:rsidP="00040659">
      <w:pPr>
        <w:spacing w:after="0" w:line="240" w:lineRule="auto"/>
        <w:jc w:val="both"/>
      </w:pPr>
      <w:r>
        <w:t>5</w:t>
      </w:r>
      <w:r w:rsidR="00892CBD" w:rsidRPr="00D61362">
        <w:t xml:space="preserve">.2 </w:t>
      </w:r>
      <w:r w:rsidR="00510CCA" w:rsidRPr="00D61362">
        <w:t>Post inspection stage</w:t>
      </w:r>
    </w:p>
    <w:p w:rsidR="00D967AD" w:rsidRDefault="00D967AD" w:rsidP="00040659">
      <w:pPr>
        <w:spacing w:after="0" w:line="240" w:lineRule="auto"/>
        <w:jc w:val="both"/>
        <w:rPr>
          <w:b/>
        </w:rPr>
      </w:pPr>
    </w:p>
    <w:p w:rsidR="00D967AD" w:rsidRPr="00D967AD" w:rsidRDefault="001E4269" w:rsidP="00040659">
      <w:pPr>
        <w:spacing w:after="0" w:line="240" w:lineRule="auto"/>
        <w:jc w:val="both"/>
      </w:pPr>
      <w:r>
        <w:t xml:space="preserve">Upon tenancy termination </w:t>
      </w:r>
      <w:r w:rsidR="00D967AD">
        <w:t xml:space="preserve">(with or without notice) </w:t>
      </w:r>
      <w:r w:rsidR="008037F6">
        <w:t xml:space="preserve">a </w:t>
      </w:r>
      <w:r w:rsidR="002B74C0">
        <w:t>void</w:t>
      </w:r>
      <w:r w:rsidR="008037F6">
        <w:t xml:space="preserve"> inspection will be carried out.  Where </w:t>
      </w:r>
      <w:r w:rsidR="00576405">
        <w:t xml:space="preserve">any </w:t>
      </w:r>
      <w:r w:rsidR="008037F6">
        <w:t>additional</w:t>
      </w:r>
      <w:r w:rsidR="00B85C27">
        <w:t>/r</w:t>
      </w:r>
      <w:r w:rsidR="008037F6">
        <w:t>echarge items are discovered at this stage</w:t>
      </w:r>
      <w:r w:rsidR="00FE06DF">
        <w:t xml:space="preserve"> </w:t>
      </w:r>
      <w:r w:rsidR="008037F6">
        <w:t>further</w:t>
      </w:r>
      <w:r w:rsidR="00B85C27">
        <w:t>/</w:t>
      </w:r>
      <w:r w:rsidR="008037F6">
        <w:t xml:space="preserve">photographic evidence will be retained on file for future reference.  </w:t>
      </w:r>
      <w:r w:rsidR="00D967AD">
        <w:t xml:space="preserve"> </w:t>
      </w:r>
      <w:r w:rsidR="00B85C27">
        <w:t>The items will be</w:t>
      </w:r>
      <w:r w:rsidR="002B74C0">
        <w:t xml:space="preserve"> recorded</w:t>
      </w:r>
      <w:r w:rsidR="00B85C27">
        <w:t>, costed and</w:t>
      </w:r>
      <w:r w:rsidR="002B74C0">
        <w:t xml:space="preserve">, if </w:t>
      </w:r>
      <w:proofErr w:type="gramStart"/>
      <w:r w:rsidR="002B74C0">
        <w:t>a forwarding</w:t>
      </w:r>
      <w:proofErr w:type="gramEnd"/>
      <w:r w:rsidR="002B74C0">
        <w:t xml:space="preserve"> address known,</w:t>
      </w:r>
      <w:r w:rsidR="00B85C27">
        <w:t xml:space="preserve"> a request for payment </w:t>
      </w:r>
      <w:r w:rsidR="002B74C0">
        <w:t xml:space="preserve">will be sent </w:t>
      </w:r>
      <w:r w:rsidR="00B85C27">
        <w:t>by our Debt Recovery Team.  The debt will be added to the former tenant account and the tenant placed on the R</w:t>
      </w:r>
      <w:r w:rsidR="00655C61">
        <w:t>RL</w:t>
      </w:r>
      <w:r w:rsidR="00B85C27">
        <w:t xml:space="preserve"> as above.</w:t>
      </w:r>
    </w:p>
    <w:p w:rsidR="00D967AD" w:rsidRDefault="00D967AD" w:rsidP="00040659">
      <w:pPr>
        <w:spacing w:after="0" w:line="240" w:lineRule="auto"/>
        <w:jc w:val="both"/>
        <w:rPr>
          <w:b/>
        </w:rPr>
      </w:pPr>
    </w:p>
    <w:p w:rsidR="00ED1C92" w:rsidRPr="00D61362" w:rsidRDefault="00CF063E" w:rsidP="00040659">
      <w:pPr>
        <w:spacing w:after="0" w:line="240" w:lineRule="auto"/>
        <w:jc w:val="both"/>
      </w:pPr>
      <w:r>
        <w:t>5</w:t>
      </w:r>
      <w:r w:rsidR="00892CBD" w:rsidRPr="00D61362">
        <w:t xml:space="preserve">.3 </w:t>
      </w:r>
      <w:r w:rsidR="00ED1C92" w:rsidRPr="00D61362">
        <w:t>Void recharges</w:t>
      </w:r>
    </w:p>
    <w:p w:rsidR="00ED1C92" w:rsidRPr="00ED1C92" w:rsidRDefault="00ED1C92" w:rsidP="00040659">
      <w:pPr>
        <w:spacing w:after="0" w:line="240" w:lineRule="auto"/>
        <w:jc w:val="both"/>
        <w:rPr>
          <w:b/>
        </w:rPr>
      </w:pPr>
    </w:p>
    <w:p w:rsidR="00ED1C92" w:rsidRDefault="00ED1C92" w:rsidP="00040659">
      <w:pPr>
        <w:spacing w:after="0" w:line="240" w:lineRule="auto"/>
        <w:jc w:val="both"/>
      </w:pPr>
      <w:r>
        <w:t xml:space="preserve">The level of repair needed to a property because the exiting tenant has damaged it or has, through negligent action, allowed others (e.g. vandals) access to the property </w:t>
      </w:r>
      <w:r w:rsidR="00FE06DF">
        <w:t xml:space="preserve">will </w:t>
      </w:r>
      <w:r>
        <w:t xml:space="preserve">be charged to that tenant.  </w:t>
      </w:r>
      <w:r w:rsidR="002B74C0">
        <w:t>Other charges include t</w:t>
      </w:r>
      <w:r>
        <w:t>he cost of removing rubbish and other items</w:t>
      </w:r>
      <w:r w:rsidR="002718B5">
        <w:t>;</w:t>
      </w:r>
      <w:r w:rsidR="002B74C0">
        <w:t xml:space="preserve"> and the</w:t>
      </w:r>
      <w:r>
        <w:t xml:space="preserve"> storage and disposal of tenant’s </w:t>
      </w:r>
      <w:r w:rsidR="002B74C0">
        <w:t>belongings</w:t>
      </w:r>
      <w:r>
        <w:t xml:space="preserve"> as required.  </w:t>
      </w:r>
    </w:p>
    <w:p w:rsidR="00714339" w:rsidRDefault="00714339" w:rsidP="00040659">
      <w:pPr>
        <w:spacing w:after="0" w:line="240" w:lineRule="auto"/>
        <w:jc w:val="both"/>
      </w:pPr>
    </w:p>
    <w:p w:rsidR="00ED1C92" w:rsidRDefault="0012254E" w:rsidP="00040659">
      <w:pPr>
        <w:spacing w:after="0" w:line="240" w:lineRule="auto"/>
        <w:jc w:val="both"/>
      </w:pPr>
      <w:r>
        <w:t xml:space="preserve">If </w:t>
      </w:r>
      <w:r w:rsidR="00714339">
        <w:t xml:space="preserve">tenant </w:t>
      </w:r>
      <w:r>
        <w:t xml:space="preserve">improvements or alterations </w:t>
      </w:r>
      <w:r w:rsidR="00714339">
        <w:t>are identified we will determine</w:t>
      </w:r>
      <w:r>
        <w:t xml:space="preserve"> </w:t>
      </w:r>
      <w:r w:rsidR="00714339">
        <w:t>if</w:t>
      </w:r>
      <w:r>
        <w:t xml:space="preserve"> permission was sought and given for the work and</w:t>
      </w:r>
      <w:r w:rsidR="00714339">
        <w:t xml:space="preserve"> if the work</w:t>
      </w:r>
      <w:r>
        <w:t xml:space="preserve"> is </w:t>
      </w:r>
      <w:r w:rsidR="00714339">
        <w:t>to</w:t>
      </w:r>
      <w:r>
        <w:t xml:space="preserve"> a satisfactory standard.  If the work does not meet these criteria</w:t>
      </w:r>
      <w:r w:rsidR="00902C80">
        <w:t>,</w:t>
      </w:r>
      <w:r>
        <w:t xml:space="preserve"> and remedial works are needed</w:t>
      </w:r>
      <w:r w:rsidR="00902C80">
        <w:t>,</w:t>
      </w:r>
      <w:r>
        <w:t xml:space="preserve"> the cost of this work </w:t>
      </w:r>
      <w:r w:rsidR="00714339">
        <w:t xml:space="preserve">will </w:t>
      </w:r>
      <w:r>
        <w:t>be re</w:t>
      </w:r>
      <w:r w:rsidR="00714339">
        <w:t xml:space="preserve">charged.  </w:t>
      </w:r>
      <w:r>
        <w:t xml:space="preserve">If </w:t>
      </w:r>
      <w:r w:rsidR="00714339">
        <w:t xml:space="preserve">an </w:t>
      </w:r>
      <w:proofErr w:type="gramStart"/>
      <w:r w:rsidR="00714339">
        <w:t xml:space="preserve">approved </w:t>
      </w:r>
      <w:r>
        <w:t xml:space="preserve"> </w:t>
      </w:r>
      <w:r>
        <w:lastRenderedPageBreak/>
        <w:t>alteration</w:t>
      </w:r>
      <w:proofErr w:type="gramEnd"/>
      <w:r>
        <w:t xml:space="preserve"> or improvement is </w:t>
      </w:r>
      <w:r w:rsidR="00902C80">
        <w:t>to</w:t>
      </w:r>
      <w:r>
        <w:t xml:space="preserve"> a satisfactory standard but a decision made to restore the property to its pre-improvement condition</w:t>
      </w:r>
      <w:r w:rsidR="00902C80">
        <w:t>,</w:t>
      </w:r>
      <w:r>
        <w:t xml:space="preserve"> </w:t>
      </w:r>
      <w:r w:rsidR="00902C80">
        <w:t>a</w:t>
      </w:r>
      <w:r>
        <w:t xml:space="preserve"> </w:t>
      </w:r>
      <w:r w:rsidR="00707B41">
        <w:t>tenant</w:t>
      </w:r>
      <w:r>
        <w:t xml:space="preserve"> </w:t>
      </w:r>
      <w:r w:rsidR="00714339">
        <w:t>will</w:t>
      </w:r>
      <w:r>
        <w:t xml:space="preserve"> not be recharged for this work.  </w:t>
      </w:r>
    </w:p>
    <w:p w:rsidR="00ED1C92" w:rsidRPr="00ED1C92" w:rsidRDefault="00ED1C92" w:rsidP="00040659">
      <w:pPr>
        <w:spacing w:after="0" w:line="240" w:lineRule="auto"/>
        <w:jc w:val="both"/>
      </w:pPr>
    </w:p>
    <w:p w:rsidR="00D967AD" w:rsidRPr="00D61362" w:rsidRDefault="00CF063E" w:rsidP="00D967AD">
      <w:pPr>
        <w:spacing w:after="0" w:line="240" w:lineRule="auto"/>
        <w:jc w:val="both"/>
      </w:pPr>
      <w:r>
        <w:t>5</w:t>
      </w:r>
      <w:r w:rsidR="00892CBD" w:rsidRPr="00D61362">
        <w:t xml:space="preserve">.4 </w:t>
      </w:r>
      <w:r w:rsidR="00D967AD" w:rsidRPr="00D61362">
        <w:t xml:space="preserve">Non-standard items </w:t>
      </w:r>
    </w:p>
    <w:p w:rsidR="00B835F3" w:rsidRPr="00D967AD" w:rsidRDefault="00B835F3" w:rsidP="00D967AD">
      <w:pPr>
        <w:spacing w:after="0" w:line="240" w:lineRule="auto"/>
        <w:jc w:val="both"/>
        <w:rPr>
          <w:b/>
        </w:rPr>
      </w:pPr>
    </w:p>
    <w:p w:rsidR="00D967AD" w:rsidRDefault="00D967AD" w:rsidP="00D967AD">
      <w:pPr>
        <w:spacing w:after="0" w:line="240" w:lineRule="auto"/>
        <w:jc w:val="both"/>
      </w:pPr>
      <w:proofErr w:type="gramStart"/>
      <w:r>
        <w:t xml:space="preserve">Where non-standard items i.e. items that differ from our range of fixtures and fittings are found these may be left in the property for the incoming tenant </w:t>
      </w:r>
      <w:r w:rsidR="00902C80">
        <w:t>if</w:t>
      </w:r>
      <w:r>
        <w:t xml:space="preserve"> they do not pose a health and safety risk.</w:t>
      </w:r>
      <w:proofErr w:type="gramEnd"/>
    </w:p>
    <w:p w:rsidR="00D967AD" w:rsidRDefault="00D967AD" w:rsidP="00D967AD">
      <w:pPr>
        <w:spacing w:after="0" w:line="240" w:lineRule="auto"/>
        <w:jc w:val="both"/>
      </w:pPr>
    </w:p>
    <w:p w:rsidR="00CF063E" w:rsidRPr="00892CBD" w:rsidRDefault="00CF063E" w:rsidP="00CF063E">
      <w:pPr>
        <w:spacing w:after="0" w:line="240" w:lineRule="auto"/>
        <w:jc w:val="both"/>
      </w:pPr>
      <w:r>
        <w:rPr>
          <w:b/>
        </w:rPr>
        <w:t>6</w:t>
      </w:r>
      <w:r w:rsidRPr="00892CBD">
        <w:rPr>
          <w:b/>
        </w:rPr>
        <w:t>.0 Discretion and Exception</w:t>
      </w:r>
    </w:p>
    <w:p w:rsidR="00CF063E" w:rsidRPr="00040659" w:rsidRDefault="00CF063E" w:rsidP="00CF063E">
      <w:pPr>
        <w:spacing w:after="0" w:line="240" w:lineRule="auto"/>
        <w:ind w:hanging="720"/>
        <w:jc w:val="both"/>
        <w:rPr>
          <w:color w:val="595959" w:themeColor="text1" w:themeTint="A6"/>
        </w:rPr>
      </w:pPr>
    </w:p>
    <w:p w:rsidR="00CF063E" w:rsidRPr="00040659" w:rsidRDefault="00CF063E" w:rsidP="00CF063E">
      <w:pPr>
        <w:spacing w:after="0" w:line="240" w:lineRule="auto"/>
        <w:jc w:val="both"/>
      </w:pPr>
      <w:r>
        <w:t>If</w:t>
      </w:r>
      <w:r w:rsidRPr="00040659">
        <w:t xml:space="preserve"> damage is </w:t>
      </w:r>
      <w:r>
        <w:t xml:space="preserve">caused by vandalism </w:t>
      </w:r>
      <w:r w:rsidRPr="00040659">
        <w:t>or criminal activity</w:t>
      </w:r>
      <w:r>
        <w:t xml:space="preserve"> we will require</w:t>
      </w:r>
      <w:r w:rsidRPr="00040659">
        <w:t xml:space="preserve"> a crime reference number</w:t>
      </w:r>
      <w:r>
        <w:t xml:space="preserve"> to consider an exception to the policy</w:t>
      </w:r>
      <w:r w:rsidRPr="00040659">
        <w:t xml:space="preserve">.  </w:t>
      </w:r>
      <w:r>
        <w:t>We will report criminal damage against our property to the Police and seek compensation to cover the cost of repair.</w:t>
      </w:r>
    </w:p>
    <w:p w:rsidR="00CF063E" w:rsidRPr="00040659" w:rsidRDefault="00CF063E" w:rsidP="00CF063E">
      <w:pPr>
        <w:spacing w:after="0" w:line="240" w:lineRule="auto"/>
        <w:ind w:hanging="720"/>
        <w:jc w:val="both"/>
        <w:rPr>
          <w:color w:val="595959" w:themeColor="text1" w:themeTint="A6"/>
        </w:rPr>
      </w:pPr>
    </w:p>
    <w:p w:rsidR="00CF063E" w:rsidRDefault="00CF063E" w:rsidP="00CF063E">
      <w:pPr>
        <w:spacing w:after="0" w:line="240" w:lineRule="auto"/>
        <w:jc w:val="both"/>
      </w:pPr>
      <w:r>
        <w:t>Discretion can be applied to waive recharges in households were there are child protection issues (and such assessments may include safeguarding referrals to the local authority).</w:t>
      </w:r>
    </w:p>
    <w:p w:rsidR="00CF063E" w:rsidRDefault="00CF063E" w:rsidP="00CF063E">
      <w:pPr>
        <w:spacing w:after="0" w:line="240" w:lineRule="auto"/>
        <w:jc w:val="both"/>
      </w:pPr>
    </w:p>
    <w:p w:rsidR="00CF063E" w:rsidRDefault="00CF063E" w:rsidP="00CF063E">
      <w:pPr>
        <w:spacing w:after="0" w:line="240" w:lineRule="auto"/>
        <w:jc w:val="both"/>
      </w:pPr>
      <w:r>
        <w:t xml:space="preserve">Other discretion can be applied on a case by case basis after consideration of relevant facts.  </w:t>
      </w:r>
    </w:p>
    <w:p w:rsidR="00CF063E" w:rsidRPr="00510CCA" w:rsidRDefault="00CF063E" w:rsidP="00CF063E">
      <w:pPr>
        <w:spacing w:after="0" w:line="240" w:lineRule="auto"/>
        <w:jc w:val="both"/>
        <w:rPr>
          <w:b/>
        </w:rPr>
      </w:pPr>
    </w:p>
    <w:p w:rsidR="00490A49" w:rsidRPr="00892CBD" w:rsidRDefault="00134207" w:rsidP="00490A49">
      <w:pPr>
        <w:spacing w:after="0" w:line="240" w:lineRule="auto"/>
        <w:jc w:val="both"/>
        <w:rPr>
          <w:b/>
        </w:rPr>
      </w:pPr>
      <w:r>
        <w:rPr>
          <w:b/>
        </w:rPr>
        <w:t>7</w:t>
      </w:r>
      <w:r w:rsidR="00892CBD" w:rsidRPr="00892CBD">
        <w:rPr>
          <w:b/>
        </w:rPr>
        <w:t xml:space="preserve">.0 </w:t>
      </w:r>
      <w:r w:rsidR="00817327" w:rsidRPr="00892CBD">
        <w:rPr>
          <w:b/>
        </w:rPr>
        <w:t xml:space="preserve">Disputed Costs </w:t>
      </w:r>
    </w:p>
    <w:p w:rsidR="00490A49" w:rsidRPr="00892CBD" w:rsidRDefault="00490A49" w:rsidP="00490A49">
      <w:pPr>
        <w:spacing w:after="0" w:line="240" w:lineRule="auto"/>
        <w:jc w:val="both"/>
        <w:rPr>
          <w:b/>
          <w:color w:val="2BA39F"/>
        </w:rPr>
      </w:pPr>
    </w:p>
    <w:p w:rsidR="00817327" w:rsidRDefault="00346E68" w:rsidP="00490A49">
      <w:pPr>
        <w:spacing w:after="0" w:line="240" w:lineRule="auto"/>
        <w:jc w:val="both"/>
      </w:pPr>
      <w:r>
        <w:t>C</w:t>
      </w:r>
      <w:r w:rsidR="00817327" w:rsidRPr="00892CBD">
        <w:t xml:space="preserve">hallenges </w:t>
      </w:r>
      <w:r>
        <w:t xml:space="preserve">to </w:t>
      </w:r>
      <w:r w:rsidR="00817327" w:rsidRPr="00892CBD">
        <w:t>the nature or level of</w:t>
      </w:r>
      <w:r>
        <w:t xml:space="preserve"> recharges</w:t>
      </w:r>
      <w:r w:rsidR="00817327" w:rsidRPr="00892CBD">
        <w:t xml:space="preserve"> will be dealt with through an appeals procedure.</w:t>
      </w:r>
    </w:p>
    <w:p w:rsidR="00FE06DF" w:rsidRPr="00892CBD" w:rsidRDefault="00FE06DF" w:rsidP="00490A49">
      <w:pPr>
        <w:spacing w:after="0" w:line="240" w:lineRule="auto"/>
        <w:jc w:val="both"/>
      </w:pPr>
    </w:p>
    <w:p w:rsidR="00FE06DF" w:rsidRPr="00892CBD" w:rsidRDefault="00134207" w:rsidP="00FE06DF">
      <w:pPr>
        <w:spacing w:after="0" w:line="240" w:lineRule="auto"/>
        <w:jc w:val="both"/>
        <w:rPr>
          <w:b/>
        </w:rPr>
      </w:pPr>
      <w:r>
        <w:rPr>
          <w:b/>
        </w:rPr>
        <w:t>8</w:t>
      </w:r>
      <w:r w:rsidR="00892CBD" w:rsidRPr="00892CBD">
        <w:rPr>
          <w:b/>
        </w:rPr>
        <w:t xml:space="preserve">.0 </w:t>
      </w:r>
      <w:r w:rsidR="00FE06DF" w:rsidRPr="00892CBD">
        <w:rPr>
          <w:b/>
        </w:rPr>
        <w:t xml:space="preserve">Equality </w:t>
      </w:r>
    </w:p>
    <w:p w:rsidR="00FE06DF" w:rsidRDefault="00FE06DF" w:rsidP="00FE06DF">
      <w:pPr>
        <w:spacing w:after="0" w:line="240" w:lineRule="auto"/>
        <w:jc w:val="both"/>
        <w:rPr>
          <w:b/>
          <w:color w:val="2BA39F"/>
        </w:rPr>
      </w:pPr>
    </w:p>
    <w:p w:rsidR="00AA22C9" w:rsidRDefault="00FE06DF" w:rsidP="00FE06DF">
      <w:pPr>
        <w:spacing w:after="0" w:line="240" w:lineRule="auto"/>
        <w:jc w:val="both"/>
      </w:pPr>
      <w:r>
        <w:t xml:space="preserve">In applying this policy One Manchester will ensure that all </w:t>
      </w:r>
      <w:r w:rsidR="00707B41">
        <w:t>tenants</w:t>
      </w:r>
      <w:r>
        <w:t xml:space="preserve"> receive an equal and fair service.  We will meet the requirements of the Equality Act 2010 and our responsibilities under the Public Sector Equality Duty.  </w:t>
      </w:r>
      <w:r w:rsidR="003270DC" w:rsidRPr="002F0FAC">
        <w:t xml:space="preserve">An Equality Impact </w:t>
      </w:r>
      <w:r w:rsidR="002718B5" w:rsidRPr="002F0FAC">
        <w:t>Assessment has been carried out on this policy.</w:t>
      </w:r>
    </w:p>
    <w:p w:rsidR="00AA22C9" w:rsidRDefault="00AA22C9" w:rsidP="00FE06DF">
      <w:pPr>
        <w:spacing w:after="0" w:line="240" w:lineRule="auto"/>
        <w:jc w:val="both"/>
      </w:pPr>
    </w:p>
    <w:p w:rsidR="00AA22C9" w:rsidRDefault="00AA22C9" w:rsidP="00FE06DF">
      <w:pPr>
        <w:spacing w:after="0" w:line="240" w:lineRule="auto"/>
        <w:jc w:val="both"/>
      </w:pPr>
      <w:r>
        <w:t>Specifically, we acknowledge that tenants with certain disabilities may inadvertently cause more damage to their home than others and this will be considered in the application of this policy.</w:t>
      </w:r>
    </w:p>
    <w:p w:rsidR="00E74B7A" w:rsidRDefault="00E74B7A" w:rsidP="00FE06DF">
      <w:pPr>
        <w:spacing w:after="0" w:line="240" w:lineRule="auto"/>
        <w:jc w:val="both"/>
        <w:rPr>
          <w:b/>
          <w:color w:val="FF0000"/>
        </w:rPr>
      </w:pPr>
    </w:p>
    <w:p w:rsidR="00E74B7A" w:rsidRPr="00892CBD" w:rsidRDefault="00134207" w:rsidP="00E74B7A">
      <w:pPr>
        <w:spacing w:after="0" w:line="240" w:lineRule="auto"/>
        <w:jc w:val="both"/>
        <w:rPr>
          <w:rFonts w:cs="Arial"/>
          <w:b/>
        </w:rPr>
      </w:pPr>
      <w:r>
        <w:rPr>
          <w:rFonts w:cs="Arial"/>
          <w:b/>
        </w:rPr>
        <w:t>9</w:t>
      </w:r>
      <w:r w:rsidR="00E74B7A" w:rsidRPr="00892CBD">
        <w:rPr>
          <w:rFonts w:cs="Arial"/>
          <w:b/>
        </w:rPr>
        <w:t>.0</w:t>
      </w:r>
      <w:r w:rsidR="00892CBD" w:rsidRPr="00892CBD">
        <w:rPr>
          <w:rFonts w:cs="Arial"/>
          <w:b/>
        </w:rPr>
        <w:t xml:space="preserve"> </w:t>
      </w:r>
      <w:r w:rsidR="00E74B7A" w:rsidRPr="00892CBD">
        <w:rPr>
          <w:rFonts w:cs="Arial"/>
          <w:b/>
        </w:rPr>
        <w:t>Responsibility</w:t>
      </w:r>
    </w:p>
    <w:p w:rsidR="00892CBD" w:rsidRPr="00892CBD" w:rsidRDefault="00892CBD" w:rsidP="00E74B7A">
      <w:pPr>
        <w:spacing w:after="0" w:line="240" w:lineRule="auto"/>
        <w:jc w:val="both"/>
        <w:rPr>
          <w:rFonts w:ascii="Calibri" w:hAnsi="Calibri" w:cs="Calibri"/>
          <w:color w:val="1A1A1A"/>
        </w:rPr>
      </w:pPr>
    </w:p>
    <w:p w:rsidR="00715063" w:rsidRPr="00892CBD" w:rsidRDefault="00E74B7A" w:rsidP="00715063">
      <w:pPr>
        <w:autoSpaceDE w:val="0"/>
        <w:autoSpaceDN w:val="0"/>
        <w:adjustRightInd w:val="0"/>
        <w:spacing w:after="0" w:line="240" w:lineRule="auto"/>
        <w:rPr>
          <w:rFonts w:ascii="Calibri" w:hAnsi="Calibri" w:cs="Calibri"/>
          <w:color w:val="1A1A1A"/>
        </w:rPr>
      </w:pPr>
      <w:r w:rsidRPr="00892CBD">
        <w:rPr>
          <w:rFonts w:ascii="Calibri" w:hAnsi="Calibri" w:cs="Calibri"/>
          <w:color w:val="1A1A1A"/>
        </w:rPr>
        <w:t>The Group Director of Communities is responsible for ensuring this policy complies with legislative requireme</w:t>
      </w:r>
      <w:r w:rsidR="00715063" w:rsidRPr="00892CBD">
        <w:rPr>
          <w:rFonts w:ascii="Calibri" w:hAnsi="Calibri" w:cs="Calibri"/>
          <w:color w:val="1A1A1A"/>
        </w:rPr>
        <w:t>nts.</w:t>
      </w:r>
    </w:p>
    <w:p w:rsidR="00715063" w:rsidRPr="00892CBD" w:rsidRDefault="00715063" w:rsidP="00715063">
      <w:pPr>
        <w:autoSpaceDE w:val="0"/>
        <w:autoSpaceDN w:val="0"/>
        <w:adjustRightInd w:val="0"/>
        <w:spacing w:after="0" w:line="240" w:lineRule="auto"/>
        <w:rPr>
          <w:rFonts w:ascii="Calibri" w:hAnsi="Calibri" w:cs="Calibri"/>
          <w:color w:val="1A1A1A"/>
        </w:rPr>
      </w:pPr>
    </w:p>
    <w:p w:rsidR="00715063" w:rsidRDefault="00715063" w:rsidP="00715063">
      <w:pPr>
        <w:autoSpaceDE w:val="0"/>
        <w:autoSpaceDN w:val="0"/>
        <w:adjustRightInd w:val="0"/>
        <w:spacing w:after="0" w:line="240" w:lineRule="auto"/>
        <w:rPr>
          <w:rFonts w:ascii="Calibri" w:hAnsi="Calibri" w:cs="Calibri"/>
          <w:color w:val="1A1A1A"/>
        </w:rPr>
      </w:pPr>
      <w:r w:rsidRPr="00892CBD">
        <w:rPr>
          <w:rFonts w:ascii="Calibri" w:hAnsi="Calibri" w:cs="Calibri"/>
          <w:color w:val="1A1A1A"/>
        </w:rPr>
        <w:t>All contractors, staff members and</w:t>
      </w:r>
      <w:r>
        <w:rPr>
          <w:rFonts w:ascii="Calibri" w:hAnsi="Calibri" w:cs="Calibri"/>
          <w:color w:val="1A1A1A"/>
        </w:rPr>
        <w:t xml:space="preserve"> OOH service operators are expected to comply with it.</w:t>
      </w:r>
    </w:p>
    <w:p w:rsidR="00892CBD" w:rsidRDefault="00892CBD" w:rsidP="00E74B7A">
      <w:pPr>
        <w:spacing w:after="0" w:line="240" w:lineRule="auto"/>
        <w:jc w:val="both"/>
        <w:rPr>
          <w:rFonts w:cs="Arial"/>
          <w:b/>
        </w:rPr>
      </w:pPr>
    </w:p>
    <w:p w:rsidR="00E74B7A" w:rsidRPr="00892CBD" w:rsidRDefault="00134207" w:rsidP="00E74B7A">
      <w:pPr>
        <w:spacing w:after="0" w:line="240" w:lineRule="auto"/>
        <w:jc w:val="both"/>
        <w:rPr>
          <w:rFonts w:cs="Arial"/>
          <w:b/>
        </w:rPr>
      </w:pPr>
      <w:r>
        <w:rPr>
          <w:rFonts w:cs="Arial"/>
          <w:b/>
        </w:rPr>
        <w:t>10</w:t>
      </w:r>
      <w:r w:rsidR="00E74B7A" w:rsidRPr="00892CBD">
        <w:rPr>
          <w:rFonts w:cs="Arial"/>
          <w:b/>
        </w:rPr>
        <w:t>.0</w:t>
      </w:r>
      <w:r w:rsidR="00892CBD" w:rsidRPr="00892CBD">
        <w:rPr>
          <w:rFonts w:cs="Arial"/>
          <w:b/>
        </w:rPr>
        <w:t xml:space="preserve"> </w:t>
      </w:r>
      <w:r w:rsidR="00E74B7A" w:rsidRPr="00892CBD">
        <w:rPr>
          <w:rFonts w:cs="Arial"/>
          <w:b/>
        </w:rPr>
        <w:t>Monitoring, review and evaluation</w:t>
      </w:r>
    </w:p>
    <w:p w:rsidR="00E74B7A" w:rsidRDefault="00E74B7A" w:rsidP="00E74B7A">
      <w:pPr>
        <w:spacing w:after="0" w:line="240" w:lineRule="auto"/>
        <w:jc w:val="both"/>
        <w:rPr>
          <w:rFonts w:cs="Arial"/>
          <w:b/>
        </w:rPr>
      </w:pPr>
    </w:p>
    <w:p w:rsidR="00715063" w:rsidRDefault="00962914" w:rsidP="00E74B7A">
      <w:pPr>
        <w:spacing w:after="0" w:line="240" w:lineRule="auto"/>
        <w:jc w:val="both"/>
        <w:rPr>
          <w:rFonts w:cs="Arial"/>
        </w:rPr>
      </w:pPr>
      <w:r>
        <w:rPr>
          <w:rFonts w:cs="Arial"/>
        </w:rPr>
        <w:t>Feedback received from any customer satisfaction surveys will be used to inform amendments to the policy and improve service delivery.</w:t>
      </w:r>
    </w:p>
    <w:p w:rsidR="00962914" w:rsidRDefault="00962914" w:rsidP="00E74B7A">
      <w:pPr>
        <w:spacing w:after="0" w:line="240" w:lineRule="auto"/>
        <w:jc w:val="both"/>
        <w:rPr>
          <w:rFonts w:cs="Arial"/>
        </w:rPr>
      </w:pPr>
    </w:p>
    <w:p w:rsidR="00962914" w:rsidRDefault="00962914" w:rsidP="00E74B7A">
      <w:pPr>
        <w:spacing w:after="0" w:line="240" w:lineRule="auto"/>
        <w:jc w:val="both"/>
        <w:rPr>
          <w:rFonts w:cs="Arial"/>
        </w:rPr>
      </w:pPr>
      <w:r>
        <w:rPr>
          <w:rFonts w:cs="Arial"/>
        </w:rPr>
        <w:t>We will monitor the number of recharges raised; the value of current and former tenant recharges and the collection rate of recharges where possible.</w:t>
      </w:r>
    </w:p>
    <w:p w:rsidR="00962914" w:rsidRDefault="00962914" w:rsidP="00E74B7A">
      <w:pPr>
        <w:spacing w:after="0" w:line="240" w:lineRule="auto"/>
        <w:jc w:val="both"/>
        <w:rPr>
          <w:rFonts w:cs="Arial"/>
        </w:rPr>
      </w:pPr>
    </w:p>
    <w:p w:rsidR="00962914" w:rsidRPr="00715063" w:rsidRDefault="00962914" w:rsidP="00E74B7A">
      <w:pPr>
        <w:spacing w:after="0" w:line="240" w:lineRule="auto"/>
        <w:jc w:val="both"/>
        <w:rPr>
          <w:rFonts w:cs="Arial"/>
        </w:rPr>
      </w:pPr>
      <w:r>
        <w:rPr>
          <w:rFonts w:cs="Arial"/>
        </w:rPr>
        <w:t>This policy will be reviewed every three years or in line with any legislative or regulatory changes.</w:t>
      </w:r>
    </w:p>
    <w:p w:rsidR="00E74B7A" w:rsidRDefault="00E74B7A" w:rsidP="00E74B7A">
      <w:pPr>
        <w:spacing w:after="0" w:line="240" w:lineRule="auto"/>
        <w:jc w:val="both"/>
        <w:rPr>
          <w:b/>
        </w:rPr>
      </w:pPr>
      <w:r>
        <w:rPr>
          <w:b/>
        </w:rPr>
        <w:lastRenderedPageBreak/>
        <w:t>1</w:t>
      </w:r>
      <w:r w:rsidR="00134207">
        <w:rPr>
          <w:b/>
        </w:rPr>
        <w:t>1</w:t>
      </w:r>
      <w:r w:rsidRPr="00333413">
        <w:rPr>
          <w:b/>
        </w:rPr>
        <w:t>.0</w:t>
      </w:r>
      <w:r w:rsidR="00892CBD">
        <w:rPr>
          <w:b/>
        </w:rPr>
        <w:t xml:space="preserve"> </w:t>
      </w:r>
      <w:r w:rsidRPr="00333413">
        <w:rPr>
          <w:b/>
        </w:rPr>
        <w:t xml:space="preserve">Legislation </w:t>
      </w:r>
    </w:p>
    <w:p w:rsidR="00E74B7A" w:rsidRDefault="00E74B7A" w:rsidP="00E74B7A">
      <w:pPr>
        <w:spacing w:after="0" w:line="240" w:lineRule="auto"/>
        <w:jc w:val="both"/>
        <w:rPr>
          <w:b/>
        </w:rPr>
      </w:pPr>
    </w:p>
    <w:p w:rsidR="00E74B7A" w:rsidRDefault="00E74B7A" w:rsidP="00E74B7A">
      <w:pPr>
        <w:spacing w:after="0" w:line="240" w:lineRule="auto"/>
        <w:jc w:val="both"/>
      </w:pPr>
      <w:r>
        <w:t>This policy has been written in accordance with relevant guidance and legislation, which includes:</w:t>
      </w:r>
    </w:p>
    <w:p w:rsidR="00372B0A" w:rsidRDefault="00372B0A" w:rsidP="00E74B7A">
      <w:pPr>
        <w:spacing w:after="0" w:line="240" w:lineRule="auto"/>
        <w:jc w:val="both"/>
      </w:pPr>
    </w:p>
    <w:p w:rsidR="00E74B7A" w:rsidRDefault="00372B0A" w:rsidP="00CB2297">
      <w:pPr>
        <w:spacing w:after="0" w:line="240" w:lineRule="auto"/>
        <w:jc w:val="both"/>
      </w:pPr>
      <w:r>
        <w:t>Landlord and Tenant Act 1985</w:t>
      </w:r>
    </w:p>
    <w:p w:rsidR="00E74B7A" w:rsidRDefault="00715063" w:rsidP="00CB2297">
      <w:pPr>
        <w:spacing w:after="0" w:line="240" w:lineRule="auto"/>
        <w:jc w:val="both"/>
      </w:pPr>
      <w:r>
        <w:t xml:space="preserve">The Equality Act </w:t>
      </w:r>
      <w:r w:rsidR="00372B0A">
        <w:t>2010</w:t>
      </w:r>
    </w:p>
    <w:p w:rsidR="00603B09" w:rsidRDefault="00603B09" w:rsidP="00CB2297">
      <w:pPr>
        <w:spacing w:after="0" w:line="240" w:lineRule="auto"/>
        <w:jc w:val="both"/>
      </w:pPr>
      <w:r>
        <w:t>General Data Protection Regulations 2016</w:t>
      </w:r>
    </w:p>
    <w:p w:rsidR="00CB4E16" w:rsidRDefault="007A7BCE" w:rsidP="00CB2297">
      <w:pPr>
        <w:spacing w:after="0" w:line="240" w:lineRule="auto"/>
        <w:jc w:val="both"/>
      </w:pPr>
      <w:r>
        <w:t>Tenant Involvement and Empowerment Standard</w:t>
      </w:r>
    </w:p>
    <w:p w:rsidR="007A7BCE" w:rsidRDefault="007A7BCE" w:rsidP="00CB2297">
      <w:pPr>
        <w:spacing w:after="0" w:line="240" w:lineRule="auto"/>
        <w:jc w:val="both"/>
      </w:pPr>
      <w:r>
        <w:t>Home Standard</w:t>
      </w:r>
    </w:p>
    <w:p w:rsidR="00DE1836" w:rsidRPr="00CD2689" w:rsidRDefault="00DE1836" w:rsidP="00DE1836">
      <w:pPr>
        <w:spacing w:after="0" w:line="240" w:lineRule="auto"/>
        <w:jc w:val="both"/>
      </w:pPr>
    </w:p>
    <w:p w:rsidR="00490A49" w:rsidRDefault="00490A49" w:rsidP="00490A49">
      <w:pPr>
        <w:spacing w:after="0" w:line="240" w:lineRule="auto"/>
        <w:jc w:val="both"/>
        <w:rPr>
          <w:b/>
          <w:color w:val="2BA39F"/>
        </w:rPr>
      </w:pPr>
    </w:p>
    <w:p w:rsidR="00490A49" w:rsidRPr="00892CBD" w:rsidRDefault="00892CBD" w:rsidP="00490A49">
      <w:pPr>
        <w:spacing w:after="0" w:line="240" w:lineRule="auto"/>
        <w:jc w:val="both"/>
        <w:rPr>
          <w:b/>
        </w:rPr>
      </w:pPr>
      <w:r w:rsidRPr="00892CBD">
        <w:rPr>
          <w:b/>
        </w:rPr>
        <w:t>1</w:t>
      </w:r>
      <w:r w:rsidR="00134207">
        <w:rPr>
          <w:b/>
        </w:rPr>
        <w:t>2</w:t>
      </w:r>
      <w:r w:rsidRPr="00892CBD">
        <w:rPr>
          <w:b/>
        </w:rPr>
        <w:t xml:space="preserve">.0 </w:t>
      </w:r>
      <w:r w:rsidR="0002136F">
        <w:rPr>
          <w:b/>
        </w:rPr>
        <w:t>Associated Policies</w:t>
      </w:r>
    </w:p>
    <w:p w:rsidR="00490A49" w:rsidRDefault="00490A49" w:rsidP="00D967AD">
      <w:pPr>
        <w:spacing w:after="0" w:line="240" w:lineRule="auto"/>
        <w:jc w:val="both"/>
      </w:pPr>
    </w:p>
    <w:p w:rsidR="009F03C9" w:rsidRDefault="00490A49" w:rsidP="00040659">
      <w:pPr>
        <w:spacing w:after="0" w:line="240" w:lineRule="auto"/>
        <w:jc w:val="both"/>
      </w:pPr>
      <w:r>
        <w:t>R</w:t>
      </w:r>
      <w:r w:rsidR="00935848">
        <w:t>epairs Policy</w:t>
      </w:r>
      <w:r w:rsidR="00892CBD">
        <w:tab/>
      </w:r>
    </w:p>
    <w:p w:rsidR="00935848" w:rsidRDefault="00892CBD" w:rsidP="00040659">
      <w:pPr>
        <w:spacing w:after="0" w:line="240" w:lineRule="auto"/>
        <w:jc w:val="both"/>
      </w:pPr>
      <w:r>
        <w:t>Equality, Diversity and Inclusion Policy</w:t>
      </w:r>
    </w:p>
    <w:p w:rsidR="009F03C9" w:rsidRDefault="00817327" w:rsidP="00040659">
      <w:pPr>
        <w:spacing w:after="0" w:line="240" w:lineRule="auto"/>
        <w:jc w:val="both"/>
      </w:pPr>
      <w:r>
        <w:t>Allocations Policy</w:t>
      </w:r>
      <w:r w:rsidR="00346E68">
        <w:tab/>
      </w:r>
    </w:p>
    <w:p w:rsidR="00817327" w:rsidRDefault="00817327" w:rsidP="00040659">
      <w:pPr>
        <w:spacing w:after="0" w:line="240" w:lineRule="auto"/>
        <w:jc w:val="both"/>
      </w:pPr>
      <w:r>
        <w:t>Anti-social behaviour Policy</w:t>
      </w:r>
    </w:p>
    <w:p w:rsidR="009F03C9" w:rsidRPr="00935848" w:rsidRDefault="009F03C9" w:rsidP="00040659">
      <w:pPr>
        <w:spacing w:after="0" w:line="240" w:lineRule="auto"/>
        <w:jc w:val="both"/>
      </w:pPr>
      <w:r>
        <w:t>Internal and Partner Organisations Transfer Process</w:t>
      </w:r>
    </w:p>
    <w:sectPr w:rsidR="009F03C9" w:rsidRPr="009358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95" w:rsidRDefault="00420A95" w:rsidP="0066380F">
      <w:pPr>
        <w:spacing w:after="0" w:line="240" w:lineRule="auto"/>
      </w:pPr>
      <w:r>
        <w:separator/>
      </w:r>
    </w:p>
  </w:endnote>
  <w:endnote w:type="continuationSeparator" w:id="0">
    <w:p w:rsidR="00420A95" w:rsidRDefault="00420A95" w:rsidP="0066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6E" w:rsidRDefault="00376D6E">
    <w:pPr>
      <w:pStyle w:val="Footer"/>
    </w:pPr>
    <w:r>
      <w:t>Version</w:t>
    </w:r>
    <w:r w:rsidR="001A1E99">
      <w:t xml:space="preserve"> 1</w:t>
    </w:r>
    <w:r>
      <w:t xml:space="preserve">:  June 2018       Approved by:  </w:t>
    </w:r>
    <w:r w:rsidR="00951D13">
      <w:t>Operations Committee 8/8/18</w:t>
    </w:r>
    <w:r>
      <w:t xml:space="preserve">      Department:  </w:t>
    </w:r>
    <w:r w:rsidR="00951D13">
      <w:t>Communities</w:t>
    </w:r>
  </w:p>
  <w:p w:rsidR="00376D6E" w:rsidRDefault="00376D6E">
    <w:pPr>
      <w:pStyle w:val="Footer"/>
    </w:pPr>
    <w:r>
      <w:t xml:space="preserve">Review:   </w:t>
    </w:r>
    <w:r w:rsidR="001A1E99">
      <w:t xml:space="preserve">   </w:t>
    </w:r>
    <w:r>
      <w:t>June 2021</w:t>
    </w:r>
  </w:p>
  <w:p w:rsidR="00376D6E" w:rsidRDefault="0037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95" w:rsidRDefault="00420A95" w:rsidP="0066380F">
      <w:pPr>
        <w:spacing w:after="0" w:line="240" w:lineRule="auto"/>
      </w:pPr>
      <w:r>
        <w:separator/>
      </w:r>
    </w:p>
  </w:footnote>
  <w:footnote w:type="continuationSeparator" w:id="0">
    <w:p w:rsidR="00420A95" w:rsidRDefault="00420A95" w:rsidP="00663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80F" w:rsidRPr="00892CBD" w:rsidRDefault="0066380F" w:rsidP="00352775">
    <w:pPr>
      <w:autoSpaceDE w:val="0"/>
      <w:autoSpaceDN w:val="0"/>
      <w:adjustRightInd w:val="0"/>
      <w:spacing w:after="0" w:line="240" w:lineRule="auto"/>
      <w:rPr>
        <w:rFonts w:eastAsia="Times New Roman" w:cs="Arial"/>
        <w:b/>
        <w:lang w:eastAsia="en-GB"/>
      </w:rPr>
    </w:pPr>
    <w:bookmarkStart w:id="2" w:name="_Toc454969287"/>
    <w:r w:rsidRPr="00892CBD">
      <w:rPr>
        <w:rFonts w:eastAsiaTheme="majorEastAsia" w:cstheme="majorBidi"/>
        <w:b/>
        <w:bCs/>
        <w:sz w:val="28"/>
        <w:szCs w:val="28"/>
        <w:lang w:eastAsia="en-GB"/>
      </w:rPr>
      <w:t>One Manchester Recharge</w:t>
    </w:r>
    <w:bookmarkEnd w:id="2"/>
    <w:r w:rsidRPr="00892CBD">
      <w:rPr>
        <w:rFonts w:eastAsiaTheme="majorEastAsia" w:cstheme="majorBidi"/>
        <w:b/>
        <w:bCs/>
        <w:sz w:val="28"/>
        <w:szCs w:val="28"/>
        <w:lang w:eastAsia="en-GB"/>
      </w:rPr>
      <w:t xml:space="preserve"> Policy</w:t>
    </w:r>
    <w:r w:rsidR="008037F6" w:rsidRPr="00892CBD">
      <w:rPr>
        <w:rFonts w:eastAsiaTheme="majorEastAsia" w:cstheme="majorBidi"/>
        <w:b/>
        <w:bCs/>
        <w:sz w:val="28"/>
        <w:szCs w:val="28"/>
        <w:lang w:eastAsia="en-GB"/>
      </w:rPr>
      <w:t xml:space="preserve"> and Procedure</w:t>
    </w:r>
    <w:r w:rsidR="00352775">
      <w:rPr>
        <w:noProof/>
        <w:lang w:eastAsia="en-GB"/>
      </w:rPr>
      <w:drawing>
        <wp:inline distT="0" distB="0" distL="0" distR="0" wp14:anchorId="460443B7" wp14:editId="2CA69501">
          <wp:extent cx="1933575" cy="590550"/>
          <wp:effectExtent l="0" t="0" r="9525" b="0"/>
          <wp:docPr id="1" name="Picture 23" descr="cid:image001.jpg@01D20AB3.89E3FF10"/>
          <wp:cNvGraphicFramePr/>
          <a:graphic xmlns:a="http://schemas.openxmlformats.org/drawingml/2006/main">
            <a:graphicData uri="http://schemas.openxmlformats.org/drawingml/2006/picture">
              <pic:pic xmlns:pic="http://schemas.openxmlformats.org/drawingml/2006/picture">
                <pic:nvPicPr>
                  <pic:cNvPr id="1" name="Picture 23" descr="cid:image001.jpg@01D20AB3.89E3FF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90550"/>
                  </a:xfrm>
                  <a:prstGeom prst="rect">
                    <a:avLst/>
                  </a:prstGeom>
                  <a:noFill/>
                  <a:ln>
                    <a:noFill/>
                  </a:ln>
                </pic:spPr>
              </pic:pic>
            </a:graphicData>
          </a:graphic>
        </wp:inline>
      </w:drawing>
    </w:r>
  </w:p>
  <w:p w:rsidR="0066380F" w:rsidRDefault="0066380F">
    <w:pPr>
      <w:pStyle w:val="Header"/>
    </w:pPr>
  </w:p>
  <w:p w:rsidR="0066380F" w:rsidRDefault="00663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6D4"/>
    <w:multiLevelType w:val="hybridMultilevel"/>
    <w:tmpl w:val="CDBA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827A3"/>
    <w:multiLevelType w:val="hybridMultilevel"/>
    <w:tmpl w:val="91CC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535FD3"/>
    <w:multiLevelType w:val="hybridMultilevel"/>
    <w:tmpl w:val="D234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9A7297"/>
    <w:multiLevelType w:val="hybridMultilevel"/>
    <w:tmpl w:val="D9EA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426EE1"/>
    <w:multiLevelType w:val="multilevel"/>
    <w:tmpl w:val="F93AE2B8"/>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5CCF2B92"/>
    <w:multiLevelType w:val="hybridMultilevel"/>
    <w:tmpl w:val="7AB0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EE16F9"/>
    <w:multiLevelType w:val="hybridMultilevel"/>
    <w:tmpl w:val="1372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FC49FF"/>
    <w:multiLevelType w:val="hybridMultilevel"/>
    <w:tmpl w:val="F66E9DC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nsid w:val="7F2E68C7"/>
    <w:multiLevelType w:val="hybridMultilevel"/>
    <w:tmpl w:val="B9A4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7"/>
  </w:num>
  <w:num w:numId="6">
    <w:abstractNumId w:val="2"/>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59"/>
    <w:rsid w:val="0002136F"/>
    <w:rsid w:val="00040659"/>
    <w:rsid w:val="0012254E"/>
    <w:rsid w:val="00134207"/>
    <w:rsid w:val="00141818"/>
    <w:rsid w:val="00156CAF"/>
    <w:rsid w:val="001A1E99"/>
    <w:rsid w:val="001E4269"/>
    <w:rsid w:val="0020538B"/>
    <w:rsid w:val="00223BA7"/>
    <w:rsid w:val="002718B5"/>
    <w:rsid w:val="002B74C0"/>
    <w:rsid w:val="002E1D25"/>
    <w:rsid w:val="002E74A4"/>
    <w:rsid w:val="002F0FAC"/>
    <w:rsid w:val="00312CBF"/>
    <w:rsid w:val="003270DC"/>
    <w:rsid w:val="00327F7B"/>
    <w:rsid w:val="00346E68"/>
    <w:rsid w:val="00352775"/>
    <w:rsid w:val="00367507"/>
    <w:rsid w:val="00372B0A"/>
    <w:rsid w:val="003748D6"/>
    <w:rsid w:val="00376D6E"/>
    <w:rsid w:val="003B3BF6"/>
    <w:rsid w:val="003F1A2A"/>
    <w:rsid w:val="00420A95"/>
    <w:rsid w:val="00424A89"/>
    <w:rsid w:val="00435384"/>
    <w:rsid w:val="00490A49"/>
    <w:rsid w:val="00494016"/>
    <w:rsid w:val="004A4AD4"/>
    <w:rsid w:val="00510CCA"/>
    <w:rsid w:val="00540692"/>
    <w:rsid w:val="00576405"/>
    <w:rsid w:val="005C576D"/>
    <w:rsid w:val="005D52A4"/>
    <w:rsid w:val="005D7D4A"/>
    <w:rsid w:val="00603B09"/>
    <w:rsid w:val="00605E16"/>
    <w:rsid w:val="006316F6"/>
    <w:rsid w:val="00655C61"/>
    <w:rsid w:val="0066380F"/>
    <w:rsid w:val="00674A22"/>
    <w:rsid w:val="006A0BA7"/>
    <w:rsid w:val="00707B41"/>
    <w:rsid w:val="00714339"/>
    <w:rsid w:val="00715063"/>
    <w:rsid w:val="00750F81"/>
    <w:rsid w:val="00764529"/>
    <w:rsid w:val="00781BEB"/>
    <w:rsid w:val="00782EAE"/>
    <w:rsid w:val="007947C0"/>
    <w:rsid w:val="007A7BCE"/>
    <w:rsid w:val="007B560C"/>
    <w:rsid w:val="008037F6"/>
    <w:rsid w:val="00817327"/>
    <w:rsid w:val="00892CBD"/>
    <w:rsid w:val="008A0740"/>
    <w:rsid w:val="00902C80"/>
    <w:rsid w:val="00935848"/>
    <w:rsid w:val="00951D13"/>
    <w:rsid w:val="00962914"/>
    <w:rsid w:val="00973859"/>
    <w:rsid w:val="00973D5E"/>
    <w:rsid w:val="009F03C9"/>
    <w:rsid w:val="00A55049"/>
    <w:rsid w:val="00AA22C9"/>
    <w:rsid w:val="00AF3F01"/>
    <w:rsid w:val="00B835F3"/>
    <w:rsid w:val="00B85C27"/>
    <w:rsid w:val="00B92174"/>
    <w:rsid w:val="00BE0101"/>
    <w:rsid w:val="00C64593"/>
    <w:rsid w:val="00C9243A"/>
    <w:rsid w:val="00CA61E6"/>
    <w:rsid w:val="00CB2297"/>
    <w:rsid w:val="00CB4E16"/>
    <w:rsid w:val="00CD2689"/>
    <w:rsid w:val="00CE539A"/>
    <w:rsid w:val="00CF063E"/>
    <w:rsid w:val="00D050F6"/>
    <w:rsid w:val="00D61362"/>
    <w:rsid w:val="00D76AAB"/>
    <w:rsid w:val="00D7727B"/>
    <w:rsid w:val="00D848BB"/>
    <w:rsid w:val="00D967AD"/>
    <w:rsid w:val="00DA7A31"/>
    <w:rsid w:val="00DE1836"/>
    <w:rsid w:val="00DF6709"/>
    <w:rsid w:val="00E05826"/>
    <w:rsid w:val="00E74B7A"/>
    <w:rsid w:val="00EA223B"/>
    <w:rsid w:val="00ED1C92"/>
    <w:rsid w:val="00ED77CF"/>
    <w:rsid w:val="00F25B63"/>
    <w:rsid w:val="00FB1CC7"/>
    <w:rsid w:val="00FE06DF"/>
    <w:rsid w:val="00FE1BF2"/>
    <w:rsid w:val="00FE4926"/>
    <w:rsid w:val="00FE5FAA"/>
    <w:rsid w:val="00FE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6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63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80F"/>
  </w:style>
  <w:style w:type="paragraph" w:styleId="Footer">
    <w:name w:val="footer"/>
    <w:basedOn w:val="Normal"/>
    <w:link w:val="FooterChar"/>
    <w:uiPriority w:val="99"/>
    <w:unhideWhenUsed/>
    <w:rsid w:val="00663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80F"/>
  </w:style>
  <w:style w:type="paragraph" w:styleId="BalloonText">
    <w:name w:val="Balloon Text"/>
    <w:basedOn w:val="Normal"/>
    <w:link w:val="BalloonTextChar"/>
    <w:uiPriority w:val="99"/>
    <w:semiHidden/>
    <w:unhideWhenUsed/>
    <w:rsid w:val="0066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0F"/>
    <w:rPr>
      <w:rFonts w:ascii="Tahoma" w:hAnsi="Tahoma" w:cs="Tahoma"/>
      <w:sz w:val="16"/>
      <w:szCs w:val="16"/>
    </w:rPr>
  </w:style>
  <w:style w:type="paragraph" w:styleId="NoSpacing">
    <w:name w:val="No Spacing"/>
    <w:uiPriority w:val="1"/>
    <w:qFormat/>
    <w:rsid w:val="0066380F"/>
    <w:pPr>
      <w:spacing w:after="0" w:line="240" w:lineRule="auto"/>
    </w:pPr>
  </w:style>
  <w:style w:type="paragraph" w:styleId="ListParagraph">
    <w:name w:val="List Paragraph"/>
    <w:basedOn w:val="Normal"/>
    <w:uiPriority w:val="99"/>
    <w:qFormat/>
    <w:rsid w:val="00DF6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6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63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80F"/>
  </w:style>
  <w:style w:type="paragraph" w:styleId="Footer">
    <w:name w:val="footer"/>
    <w:basedOn w:val="Normal"/>
    <w:link w:val="FooterChar"/>
    <w:uiPriority w:val="99"/>
    <w:unhideWhenUsed/>
    <w:rsid w:val="00663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80F"/>
  </w:style>
  <w:style w:type="paragraph" w:styleId="BalloonText">
    <w:name w:val="Balloon Text"/>
    <w:basedOn w:val="Normal"/>
    <w:link w:val="BalloonTextChar"/>
    <w:uiPriority w:val="99"/>
    <w:semiHidden/>
    <w:unhideWhenUsed/>
    <w:rsid w:val="0066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0F"/>
    <w:rPr>
      <w:rFonts w:ascii="Tahoma" w:hAnsi="Tahoma" w:cs="Tahoma"/>
      <w:sz w:val="16"/>
      <w:szCs w:val="16"/>
    </w:rPr>
  </w:style>
  <w:style w:type="paragraph" w:styleId="NoSpacing">
    <w:name w:val="No Spacing"/>
    <w:uiPriority w:val="1"/>
    <w:qFormat/>
    <w:rsid w:val="0066380F"/>
    <w:pPr>
      <w:spacing w:after="0" w:line="240" w:lineRule="auto"/>
    </w:pPr>
  </w:style>
  <w:style w:type="paragraph" w:styleId="ListParagraph">
    <w:name w:val="List Paragraph"/>
    <w:basedOn w:val="Normal"/>
    <w:uiPriority w:val="99"/>
    <w:qFormat/>
    <w:rsid w:val="00DF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FAC72-7E70-4A21-B107-1023FE57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One Manchester</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Jenkinson</dc:creator>
  <cp:lastModifiedBy>Liz Jenkinson</cp:lastModifiedBy>
  <cp:revision>2</cp:revision>
  <cp:lastPrinted>2018-06-21T09:20:00Z</cp:lastPrinted>
  <dcterms:created xsi:type="dcterms:W3CDTF">2018-08-10T13:34:00Z</dcterms:created>
  <dcterms:modified xsi:type="dcterms:W3CDTF">2018-08-10T13:34:00Z</dcterms:modified>
</cp:coreProperties>
</file>