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6A" w:rsidRDefault="00646F6A" w:rsidP="00710C18">
      <w:pPr>
        <w:spacing w:after="0" w:line="240" w:lineRule="auto"/>
        <w:jc w:val="both"/>
        <w:rPr>
          <w:rFonts w:cs="Arial"/>
          <w:b/>
        </w:rPr>
      </w:pPr>
      <w:bookmarkStart w:id="0" w:name="_GoBack"/>
      <w:bookmarkEnd w:id="0"/>
    </w:p>
    <w:p w:rsidR="00C30CE3" w:rsidRPr="00A77E67" w:rsidRDefault="008B3847" w:rsidP="00710C18">
      <w:pPr>
        <w:spacing w:after="0" w:line="240" w:lineRule="auto"/>
        <w:jc w:val="both"/>
        <w:rPr>
          <w:rFonts w:cs="Arial"/>
          <w:b/>
        </w:rPr>
      </w:pPr>
      <w:r w:rsidRPr="00A77E67">
        <w:rPr>
          <w:rFonts w:cs="Arial"/>
          <w:b/>
        </w:rPr>
        <w:t>1.0</w:t>
      </w:r>
      <w:r w:rsidRPr="00A77E67">
        <w:rPr>
          <w:rFonts w:cs="Arial"/>
          <w:b/>
        </w:rPr>
        <w:tab/>
      </w:r>
      <w:r w:rsidR="00A07BC1" w:rsidRPr="00A77E67">
        <w:rPr>
          <w:rFonts w:cs="Arial"/>
          <w:b/>
        </w:rPr>
        <w:t>Introduction</w:t>
      </w:r>
    </w:p>
    <w:p w:rsidR="00A77E67" w:rsidRDefault="004D77AF" w:rsidP="00710C18">
      <w:pPr>
        <w:spacing w:after="0" w:line="240" w:lineRule="auto"/>
        <w:ind w:left="720"/>
        <w:jc w:val="both"/>
        <w:rPr>
          <w:rFonts w:cs="Arial"/>
        </w:rPr>
      </w:pPr>
      <w:r>
        <w:rPr>
          <w:rFonts w:cs="Arial"/>
        </w:rPr>
        <w:t xml:space="preserve">One Manchester aims to maximise its income by collecting as much </w:t>
      </w:r>
      <w:r w:rsidR="00AA61DC">
        <w:rPr>
          <w:rFonts w:cs="Arial"/>
        </w:rPr>
        <w:t>income</w:t>
      </w:r>
      <w:r>
        <w:rPr>
          <w:rFonts w:cs="Arial"/>
        </w:rPr>
        <w:t xml:space="preserve"> due as possible, </w:t>
      </w:r>
      <w:r w:rsidR="00AA61DC">
        <w:rPr>
          <w:rFonts w:cs="Arial"/>
        </w:rPr>
        <w:t xml:space="preserve">across all income streams, </w:t>
      </w:r>
      <w:r>
        <w:rPr>
          <w:rFonts w:cs="Arial"/>
        </w:rPr>
        <w:t>whilst ensuring a high quality service is provided to customers</w:t>
      </w:r>
      <w:r w:rsidR="00AC25B3">
        <w:rPr>
          <w:rFonts w:cs="Arial"/>
        </w:rPr>
        <w:t>.</w:t>
      </w:r>
    </w:p>
    <w:p w:rsidR="007B47F8" w:rsidRDefault="007B47F8" w:rsidP="00710C18">
      <w:pPr>
        <w:spacing w:after="0" w:line="240" w:lineRule="auto"/>
        <w:ind w:left="720"/>
        <w:jc w:val="both"/>
        <w:rPr>
          <w:rFonts w:cs="Arial"/>
        </w:rPr>
      </w:pPr>
    </w:p>
    <w:p w:rsidR="007B47F8" w:rsidRDefault="007B47F8" w:rsidP="00710C18">
      <w:pPr>
        <w:spacing w:after="0" w:line="240" w:lineRule="auto"/>
        <w:ind w:left="720"/>
        <w:jc w:val="both"/>
        <w:rPr>
          <w:rFonts w:cs="Arial"/>
        </w:rPr>
      </w:pPr>
      <w:r>
        <w:rPr>
          <w:rFonts w:cs="Arial"/>
        </w:rPr>
        <w:t xml:space="preserve">One Manchester adopts a firm but fair approach, ensuring early intervention is made, support is provided where necessary and legal action is pursued as a last resort, only </w:t>
      </w:r>
      <w:r w:rsidRPr="002E1CDD">
        <w:rPr>
          <w:rFonts w:cs="Arial"/>
        </w:rPr>
        <w:t>when</w:t>
      </w:r>
      <w:r w:rsidR="00E0665A" w:rsidRPr="002E1CDD">
        <w:rPr>
          <w:rFonts w:cs="Arial"/>
        </w:rPr>
        <w:t xml:space="preserve"> all</w:t>
      </w:r>
      <w:r w:rsidRPr="002E1CDD">
        <w:rPr>
          <w:rFonts w:cs="Arial"/>
        </w:rPr>
        <w:t xml:space="preserve"> </w:t>
      </w:r>
      <w:r>
        <w:rPr>
          <w:rFonts w:cs="Arial"/>
        </w:rPr>
        <w:t>other options have been exhausted, or where customers are refusing to engage or co-operate.</w:t>
      </w:r>
    </w:p>
    <w:p w:rsidR="007B47F8" w:rsidRDefault="007B47F8" w:rsidP="00710C18">
      <w:pPr>
        <w:spacing w:after="0" w:line="240" w:lineRule="auto"/>
        <w:ind w:left="720"/>
        <w:jc w:val="both"/>
        <w:rPr>
          <w:rFonts w:cs="Arial"/>
        </w:rPr>
      </w:pPr>
    </w:p>
    <w:p w:rsidR="007B47F8" w:rsidRDefault="007B47F8" w:rsidP="00710C18">
      <w:pPr>
        <w:spacing w:after="0" w:line="240" w:lineRule="auto"/>
        <w:ind w:left="720"/>
        <w:jc w:val="both"/>
        <w:rPr>
          <w:rFonts w:cs="Arial"/>
        </w:rPr>
      </w:pPr>
      <w:r>
        <w:rPr>
          <w:rFonts w:cs="Arial"/>
        </w:rPr>
        <w:t xml:space="preserve">The </w:t>
      </w:r>
      <w:r w:rsidR="00D340F2">
        <w:rPr>
          <w:rFonts w:cs="Arial"/>
        </w:rPr>
        <w:t>G</w:t>
      </w:r>
      <w:r>
        <w:rPr>
          <w:rFonts w:cs="Arial"/>
        </w:rPr>
        <w:t>overnment</w:t>
      </w:r>
      <w:r w:rsidR="00D340F2">
        <w:rPr>
          <w:rFonts w:cs="Arial"/>
        </w:rPr>
        <w:t>’</w:t>
      </w:r>
      <w:r>
        <w:rPr>
          <w:rFonts w:cs="Arial"/>
        </w:rPr>
        <w:t xml:space="preserve">s continuing changes to the welfare benefit system presents a major risk for the business.  Approximately two thirds of One Manchester’s tenants are in receipt of housing benefit or the housing element of Universal Credit, therefore any change has the </w:t>
      </w:r>
      <w:r w:rsidRPr="002E1CDD">
        <w:rPr>
          <w:rFonts w:cs="Arial"/>
        </w:rPr>
        <w:t xml:space="preserve">potential </w:t>
      </w:r>
      <w:r w:rsidR="00E0665A" w:rsidRPr="002E1CDD">
        <w:rPr>
          <w:rFonts w:cs="Arial"/>
        </w:rPr>
        <w:t>t</w:t>
      </w:r>
      <w:r>
        <w:rPr>
          <w:rFonts w:cs="Arial"/>
        </w:rPr>
        <w:t>o have a major impact</w:t>
      </w:r>
      <w:r w:rsidR="0012446C">
        <w:rPr>
          <w:rFonts w:cs="Arial"/>
        </w:rPr>
        <w:t>.  To counter the impact</w:t>
      </w:r>
      <w:r w:rsidR="00AA61DC">
        <w:rPr>
          <w:rFonts w:cs="Arial"/>
        </w:rPr>
        <w:t>,</w:t>
      </w:r>
      <w:r w:rsidR="0012446C">
        <w:rPr>
          <w:rFonts w:cs="Arial"/>
        </w:rPr>
        <w:t xml:space="preserve"> One Manchester provides in-house support on a wide range of issues including debt advice, </w:t>
      </w:r>
      <w:r w:rsidR="0012446C" w:rsidRPr="001C1B27">
        <w:rPr>
          <w:rFonts w:cs="Arial"/>
        </w:rPr>
        <w:t>money</w:t>
      </w:r>
      <w:r w:rsidR="009C0472" w:rsidRPr="001C1B27">
        <w:rPr>
          <w:rFonts w:cs="Arial"/>
        </w:rPr>
        <w:t>/budgeting</w:t>
      </w:r>
      <w:r w:rsidR="0012446C" w:rsidRPr="001C1B27">
        <w:rPr>
          <w:rFonts w:cs="Arial"/>
        </w:rPr>
        <w:t xml:space="preserve"> </w:t>
      </w:r>
      <w:r w:rsidR="0012446C">
        <w:rPr>
          <w:rFonts w:cs="Arial"/>
        </w:rPr>
        <w:t xml:space="preserve">advice, tenancy support, employment support, </w:t>
      </w:r>
      <w:r w:rsidR="0012446C" w:rsidRPr="002E1CDD">
        <w:rPr>
          <w:rFonts w:cs="Arial"/>
        </w:rPr>
        <w:t>digital</w:t>
      </w:r>
      <w:r w:rsidR="00E0665A" w:rsidRPr="002E1CDD">
        <w:rPr>
          <w:rFonts w:cs="Arial"/>
        </w:rPr>
        <w:t xml:space="preserve"> inclusion</w:t>
      </w:r>
      <w:r w:rsidR="0012446C" w:rsidRPr="002E1CDD">
        <w:rPr>
          <w:rFonts w:cs="Arial"/>
        </w:rPr>
        <w:t xml:space="preserve"> </w:t>
      </w:r>
      <w:r w:rsidR="0012446C">
        <w:rPr>
          <w:rFonts w:cs="Arial"/>
        </w:rPr>
        <w:t>support and literacy support.  We aim to respond quickly to any changes in the welfare benefit system to ensure that tenants are supported through any transition.</w:t>
      </w:r>
    </w:p>
    <w:p w:rsidR="0041524C" w:rsidRPr="00A77E67" w:rsidRDefault="0041524C" w:rsidP="00710C18">
      <w:pPr>
        <w:spacing w:after="0" w:line="240" w:lineRule="auto"/>
        <w:ind w:left="720"/>
        <w:jc w:val="both"/>
        <w:rPr>
          <w:rFonts w:cs="Arial"/>
        </w:rPr>
      </w:pPr>
    </w:p>
    <w:p w:rsidR="00A07BC1" w:rsidRPr="00A77E67" w:rsidRDefault="00A07BC1" w:rsidP="00710C18">
      <w:pPr>
        <w:spacing w:after="0" w:line="240" w:lineRule="auto"/>
        <w:jc w:val="both"/>
        <w:rPr>
          <w:rFonts w:cs="Arial"/>
          <w:b/>
        </w:rPr>
      </w:pPr>
      <w:r w:rsidRPr="00EB0D3B">
        <w:rPr>
          <w:rFonts w:cs="Arial"/>
          <w:b/>
        </w:rPr>
        <w:t>2.0</w:t>
      </w:r>
      <w:r w:rsidRPr="00A77E67">
        <w:rPr>
          <w:rFonts w:cs="Arial"/>
          <w:b/>
        </w:rPr>
        <w:tab/>
        <w:t>Purpose</w:t>
      </w:r>
    </w:p>
    <w:p w:rsidR="00815B82" w:rsidRDefault="0012446C" w:rsidP="00710C18">
      <w:pPr>
        <w:spacing w:after="0" w:line="240" w:lineRule="auto"/>
        <w:ind w:left="720"/>
        <w:jc w:val="both"/>
        <w:rPr>
          <w:rFonts w:cs="Arial"/>
        </w:rPr>
      </w:pPr>
      <w:r>
        <w:rPr>
          <w:rFonts w:cs="Arial"/>
        </w:rPr>
        <w:t>One Manchester aims to have a high performing income management service.  The income management service will be delivered</w:t>
      </w:r>
      <w:r w:rsidR="0057304A">
        <w:rPr>
          <w:rFonts w:cs="Arial"/>
        </w:rPr>
        <w:t xml:space="preserve"> to maximise income and benefits for customers, promoting a payment culture, preventing homelessness and contribute to achieving sustainable tenancies and communities.</w:t>
      </w:r>
    </w:p>
    <w:p w:rsidR="00375773" w:rsidRDefault="00375773" w:rsidP="00710C18">
      <w:pPr>
        <w:spacing w:after="0" w:line="240" w:lineRule="auto"/>
        <w:ind w:left="720"/>
        <w:jc w:val="both"/>
        <w:rPr>
          <w:rFonts w:cs="Arial"/>
        </w:rPr>
      </w:pPr>
    </w:p>
    <w:p w:rsidR="00375773" w:rsidRDefault="00375773" w:rsidP="00710C18">
      <w:pPr>
        <w:spacing w:after="0" w:line="240" w:lineRule="auto"/>
        <w:ind w:left="720"/>
        <w:jc w:val="both"/>
        <w:rPr>
          <w:rFonts w:cs="Arial"/>
        </w:rPr>
      </w:pPr>
      <w:r>
        <w:rPr>
          <w:rFonts w:cs="Arial"/>
        </w:rPr>
        <w:t xml:space="preserve">It is recognised that many tenants are financially or otherwise disadvantaged and a supportive and sympathetic approach will be adopted </w:t>
      </w:r>
      <w:r w:rsidR="009257FD">
        <w:rPr>
          <w:rFonts w:cs="Arial"/>
        </w:rPr>
        <w:t xml:space="preserve">from </w:t>
      </w:r>
      <w:r>
        <w:rPr>
          <w:rFonts w:cs="Arial"/>
        </w:rPr>
        <w:t>an early stage.  In particular, the specific needs of minority ethnic groups, people having vulnerabilities and the elderly will be taken in to account in collection and process of recording supporting information.</w:t>
      </w:r>
    </w:p>
    <w:p w:rsidR="00DC6518" w:rsidRPr="00A77E67" w:rsidRDefault="00DC6518" w:rsidP="00710C18">
      <w:pPr>
        <w:spacing w:after="0" w:line="240" w:lineRule="auto"/>
        <w:ind w:left="720"/>
        <w:jc w:val="both"/>
        <w:rPr>
          <w:rFonts w:cs="Arial"/>
        </w:rPr>
      </w:pPr>
    </w:p>
    <w:p w:rsidR="00BA3B0E" w:rsidRPr="00EB0D3B" w:rsidRDefault="00BA3B0E" w:rsidP="00710C18">
      <w:pPr>
        <w:spacing w:after="0" w:line="240" w:lineRule="auto"/>
        <w:jc w:val="both"/>
        <w:rPr>
          <w:rFonts w:cs="Arial"/>
          <w:b/>
        </w:rPr>
      </w:pPr>
      <w:r w:rsidRPr="00EB0D3B">
        <w:rPr>
          <w:rFonts w:cs="Arial"/>
          <w:b/>
        </w:rPr>
        <w:t>3.0</w:t>
      </w:r>
      <w:r w:rsidRPr="00EB0D3B">
        <w:rPr>
          <w:rFonts w:cs="Arial"/>
          <w:b/>
        </w:rPr>
        <w:tab/>
      </w:r>
      <w:r w:rsidRPr="00A77E67">
        <w:rPr>
          <w:rFonts w:cs="Arial"/>
          <w:b/>
        </w:rPr>
        <w:t>Scope</w:t>
      </w:r>
    </w:p>
    <w:p w:rsidR="00A77E67" w:rsidRDefault="00D340F2" w:rsidP="00710C18">
      <w:pPr>
        <w:spacing w:after="0" w:line="240" w:lineRule="auto"/>
        <w:ind w:left="720"/>
        <w:jc w:val="both"/>
        <w:rPr>
          <w:rFonts w:cs="Arial"/>
        </w:rPr>
      </w:pPr>
      <w:r>
        <w:rPr>
          <w:rFonts w:cs="Arial"/>
        </w:rPr>
        <w:t>Income recovery includes:</w:t>
      </w:r>
    </w:p>
    <w:p w:rsidR="0057304A" w:rsidRDefault="0057304A" w:rsidP="00710C18">
      <w:pPr>
        <w:pStyle w:val="ListParagraph"/>
        <w:numPr>
          <w:ilvl w:val="0"/>
          <w:numId w:val="36"/>
        </w:numPr>
        <w:spacing w:after="0" w:line="240" w:lineRule="auto"/>
        <w:ind w:left="1134" w:hanging="425"/>
        <w:jc w:val="both"/>
        <w:rPr>
          <w:rFonts w:cs="Arial"/>
        </w:rPr>
      </w:pPr>
      <w:r>
        <w:rPr>
          <w:rFonts w:cs="Arial"/>
        </w:rPr>
        <w:t>Rent and service charges from current tenants</w:t>
      </w:r>
      <w:r w:rsidR="009257FD">
        <w:rPr>
          <w:rFonts w:cs="Arial"/>
        </w:rPr>
        <w:t xml:space="preserve"> of all tenures</w:t>
      </w:r>
    </w:p>
    <w:p w:rsidR="0057304A" w:rsidRDefault="0057304A" w:rsidP="00710C18">
      <w:pPr>
        <w:pStyle w:val="ListParagraph"/>
        <w:numPr>
          <w:ilvl w:val="0"/>
          <w:numId w:val="36"/>
        </w:numPr>
        <w:spacing w:after="0" w:line="240" w:lineRule="auto"/>
        <w:ind w:left="1134" w:hanging="425"/>
        <w:jc w:val="both"/>
        <w:rPr>
          <w:rFonts w:cs="Arial"/>
        </w:rPr>
      </w:pPr>
      <w:r>
        <w:rPr>
          <w:rFonts w:cs="Arial"/>
        </w:rPr>
        <w:t xml:space="preserve">Rent and service </w:t>
      </w:r>
      <w:r w:rsidR="00474A1E">
        <w:rPr>
          <w:rFonts w:cs="Arial"/>
        </w:rPr>
        <w:t>charges from f</w:t>
      </w:r>
      <w:r>
        <w:rPr>
          <w:rFonts w:cs="Arial"/>
        </w:rPr>
        <w:t>ormer tenants</w:t>
      </w:r>
      <w:r w:rsidR="009257FD">
        <w:rPr>
          <w:rFonts w:cs="Arial"/>
        </w:rPr>
        <w:t xml:space="preserve"> </w:t>
      </w:r>
    </w:p>
    <w:p w:rsidR="0057304A" w:rsidRDefault="0057304A" w:rsidP="00710C18">
      <w:pPr>
        <w:pStyle w:val="ListParagraph"/>
        <w:numPr>
          <w:ilvl w:val="0"/>
          <w:numId w:val="36"/>
        </w:numPr>
        <w:spacing w:after="0" w:line="240" w:lineRule="auto"/>
        <w:ind w:left="1134" w:hanging="425"/>
        <w:jc w:val="both"/>
        <w:rPr>
          <w:rFonts w:cs="Arial"/>
        </w:rPr>
      </w:pPr>
      <w:r>
        <w:rPr>
          <w:rFonts w:cs="Arial"/>
        </w:rPr>
        <w:t>Rent from garages</w:t>
      </w:r>
    </w:p>
    <w:p w:rsidR="0057304A" w:rsidRDefault="00D340F2" w:rsidP="00710C18">
      <w:pPr>
        <w:pStyle w:val="ListParagraph"/>
        <w:numPr>
          <w:ilvl w:val="0"/>
          <w:numId w:val="36"/>
        </w:numPr>
        <w:spacing w:after="0" w:line="240" w:lineRule="auto"/>
        <w:ind w:left="1134" w:hanging="425"/>
        <w:jc w:val="both"/>
        <w:rPr>
          <w:rFonts w:cs="Arial"/>
        </w:rPr>
      </w:pPr>
      <w:r>
        <w:rPr>
          <w:rFonts w:cs="Arial"/>
        </w:rPr>
        <w:t>L</w:t>
      </w:r>
      <w:r w:rsidR="00474A1E">
        <w:rPr>
          <w:rFonts w:cs="Arial"/>
        </w:rPr>
        <w:t>easeholder</w:t>
      </w:r>
      <w:r>
        <w:rPr>
          <w:rFonts w:cs="Arial"/>
        </w:rPr>
        <w:t xml:space="preserve"> service charges</w:t>
      </w:r>
    </w:p>
    <w:p w:rsidR="0057304A" w:rsidRDefault="00AA61DC" w:rsidP="00710C18">
      <w:pPr>
        <w:pStyle w:val="ListParagraph"/>
        <w:numPr>
          <w:ilvl w:val="0"/>
          <w:numId w:val="36"/>
        </w:numPr>
        <w:spacing w:after="0" w:line="240" w:lineRule="auto"/>
        <w:ind w:left="1134" w:hanging="425"/>
        <w:jc w:val="both"/>
        <w:rPr>
          <w:rFonts w:cs="Arial"/>
        </w:rPr>
      </w:pPr>
      <w:r>
        <w:rPr>
          <w:rFonts w:cs="Arial"/>
        </w:rPr>
        <w:t>Rechargeable repairs</w:t>
      </w:r>
    </w:p>
    <w:p w:rsidR="0057304A" w:rsidRDefault="0057304A" w:rsidP="00710C18">
      <w:pPr>
        <w:spacing w:after="0" w:line="240" w:lineRule="auto"/>
        <w:jc w:val="both"/>
        <w:rPr>
          <w:rFonts w:cs="Arial"/>
          <w:b/>
        </w:rPr>
      </w:pPr>
    </w:p>
    <w:p w:rsidR="008724B7" w:rsidRPr="00A4702B" w:rsidRDefault="00C64842" w:rsidP="00710C18">
      <w:pPr>
        <w:pStyle w:val="Default"/>
        <w:jc w:val="both"/>
        <w:rPr>
          <w:rFonts w:asciiTheme="minorHAnsi" w:hAnsiTheme="minorHAnsi"/>
          <w:b/>
          <w:sz w:val="22"/>
          <w:szCs w:val="22"/>
        </w:rPr>
      </w:pPr>
      <w:r w:rsidRPr="00A77E67">
        <w:rPr>
          <w:rFonts w:asciiTheme="minorHAnsi" w:hAnsiTheme="minorHAnsi"/>
          <w:b/>
          <w:sz w:val="22"/>
          <w:szCs w:val="22"/>
        </w:rPr>
        <w:t>4</w:t>
      </w:r>
      <w:r w:rsidR="00B12E86" w:rsidRPr="00A77E67">
        <w:rPr>
          <w:rFonts w:asciiTheme="minorHAnsi" w:hAnsiTheme="minorHAnsi"/>
          <w:b/>
          <w:sz w:val="22"/>
          <w:szCs w:val="22"/>
        </w:rPr>
        <w:t>.0</w:t>
      </w:r>
      <w:r w:rsidR="00B12E86" w:rsidRPr="00A77E67">
        <w:rPr>
          <w:rFonts w:asciiTheme="minorHAnsi" w:hAnsiTheme="minorHAnsi"/>
          <w:b/>
          <w:sz w:val="22"/>
          <w:szCs w:val="22"/>
        </w:rPr>
        <w:tab/>
      </w:r>
      <w:r w:rsidR="008724B7" w:rsidRPr="00A77E67">
        <w:rPr>
          <w:rFonts w:asciiTheme="minorHAnsi" w:hAnsiTheme="minorHAnsi"/>
          <w:b/>
          <w:sz w:val="22"/>
          <w:szCs w:val="22"/>
        </w:rPr>
        <w:t xml:space="preserve">The </w:t>
      </w:r>
      <w:r w:rsidR="008724B7" w:rsidRPr="00A4702B">
        <w:rPr>
          <w:rFonts w:asciiTheme="minorHAnsi" w:hAnsiTheme="minorHAnsi"/>
          <w:b/>
          <w:sz w:val="22"/>
          <w:szCs w:val="22"/>
        </w:rPr>
        <w:t>Policy</w:t>
      </w:r>
    </w:p>
    <w:p w:rsidR="00B12E86" w:rsidRPr="00A4702B" w:rsidRDefault="008724B7" w:rsidP="00710C18">
      <w:pPr>
        <w:pStyle w:val="Default"/>
        <w:jc w:val="both"/>
        <w:rPr>
          <w:rFonts w:asciiTheme="minorHAnsi" w:hAnsiTheme="minorHAnsi"/>
          <w:sz w:val="22"/>
          <w:szCs w:val="22"/>
        </w:rPr>
      </w:pPr>
      <w:r w:rsidRPr="00A4702B">
        <w:rPr>
          <w:rFonts w:asciiTheme="minorHAnsi" w:hAnsiTheme="minorHAnsi"/>
          <w:b/>
          <w:sz w:val="22"/>
          <w:szCs w:val="22"/>
        </w:rPr>
        <w:tab/>
      </w:r>
      <w:r w:rsidR="00B12E86" w:rsidRPr="00A4702B">
        <w:rPr>
          <w:rFonts w:asciiTheme="minorHAnsi" w:hAnsiTheme="minorHAnsi"/>
          <w:b/>
          <w:bCs/>
          <w:sz w:val="22"/>
          <w:szCs w:val="22"/>
        </w:rPr>
        <w:t xml:space="preserve"> </w:t>
      </w:r>
      <w:r w:rsidRPr="00A4702B">
        <w:rPr>
          <w:rFonts w:asciiTheme="minorHAnsi" w:hAnsiTheme="minorHAnsi"/>
          <w:sz w:val="22"/>
          <w:szCs w:val="22"/>
        </w:rPr>
        <w:t xml:space="preserve">The guiding principles in our approach to </w:t>
      </w:r>
      <w:r w:rsidR="00474A1E">
        <w:rPr>
          <w:rFonts w:asciiTheme="minorHAnsi" w:hAnsiTheme="minorHAnsi"/>
          <w:sz w:val="22"/>
          <w:szCs w:val="22"/>
        </w:rPr>
        <w:t>income recovery</w:t>
      </w:r>
      <w:r w:rsidR="00AA61DC">
        <w:rPr>
          <w:rFonts w:asciiTheme="minorHAnsi" w:hAnsiTheme="minorHAnsi"/>
          <w:sz w:val="22"/>
          <w:szCs w:val="22"/>
        </w:rPr>
        <w:t xml:space="preserve"> are</w:t>
      </w:r>
      <w:r w:rsidR="00DC6518">
        <w:rPr>
          <w:rFonts w:asciiTheme="minorHAnsi" w:hAnsiTheme="minorHAnsi"/>
          <w:sz w:val="22"/>
          <w:szCs w:val="22"/>
        </w:rPr>
        <w:t>:</w:t>
      </w:r>
    </w:p>
    <w:p w:rsidR="00A77E67" w:rsidRPr="00A4702B" w:rsidRDefault="00A77E67" w:rsidP="00710C18">
      <w:pPr>
        <w:pStyle w:val="Default"/>
        <w:jc w:val="both"/>
        <w:rPr>
          <w:rFonts w:asciiTheme="minorHAnsi" w:hAnsiTheme="minorHAnsi"/>
          <w:sz w:val="22"/>
          <w:szCs w:val="22"/>
        </w:rPr>
      </w:pPr>
    </w:p>
    <w:p w:rsidR="00CC5E0B" w:rsidRDefault="00CC5E0B"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develop an approach to income recovery which is efficient, effective, modern and ambitious</w:t>
      </w:r>
    </w:p>
    <w:p w:rsidR="00DA0596" w:rsidRDefault="00DA0596"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may take different approaches to the different tenures and types of debt</w:t>
      </w:r>
    </w:p>
    <w:p w:rsidR="00C64842" w:rsidRDefault="00AA61DC"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d</w:t>
      </w:r>
      <w:r w:rsidR="00474A1E">
        <w:rPr>
          <w:rFonts w:asciiTheme="minorHAnsi" w:hAnsiTheme="minorHAnsi"/>
          <w:sz w:val="22"/>
          <w:szCs w:val="22"/>
        </w:rPr>
        <w:t>evelop a culture of payment pre, during and post tenancy</w:t>
      </w:r>
    </w:p>
    <w:p w:rsidR="00474A1E" w:rsidRDefault="00AA61DC"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d</w:t>
      </w:r>
      <w:r w:rsidR="00474A1E">
        <w:rPr>
          <w:rFonts w:asciiTheme="minorHAnsi" w:hAnsiTheme="minorHAnsi"/>
          <w:sz w:val="22"/>
          <w:szCs w:val="22"/>
        </w:rPr>
        <w:t>evelop action plans for each financial year which ensure the service is progressing, improving and reflecting best practice</w:t>
      </w:r>
    </w:p>
    <w:p w:rsidR="00474A1E" w:rsidRDefault="00AA61DC"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d</w:t>
      </w:r>
      <w:r w:rsidR="00474A1E">
        <w:rPr>
          <w:rFonts w:asciiTheme="minorHAnsi" w:hAnsiTheme="minorHAnsi"/>
          <w:sz w:val="22"/>
          <w:szCs w:val="22"/>
        </w:rPr>
        <w:t>evelop challenging key performance indicators and useful performance information</w:t>
      </w:r>
    </w:p>
    <w:p w:rsidR="00474A1E" w:rsidRDefault="00AA61DC"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p</w:t>
      </w:r>
      <w:r w:rsidR="00474A1E">
        <w:rPr>
          <w:rFonts w:asciiTheme="minorHAnsi" w:hAnsiTheme="minorHAnsi"/>
          <w:sz w:val="22"/>
          <w:szCs w:val="22"/>
        </w:rPr>
        <w:t>rovid</w:t>
      </w:r>
      <w:r>
        <w:rPr>
          <w:rFonts w:asciiTheme="minorHAnsi" w:hAnsiTheme="minorHAnsi"/>
          <w:sz w:val="22"/>
          <w:szCs w:val="22"/>
        </w:rPr>
        <w:t>e</w:t>
      </w:r>
      <w:r w:rsidR="00474A1E">
        <w:rPr>
          <w:rFonts w:asciiTheme="minorHAnsi" w:hAnsiTheme="minorHAnsi"/>
          <w:sz w:val="22"/>
          <w:szCs w:val="22"/>
        </w:rPr>
        <w:t xml:space="preserve"> a range of accessible and flexible payment methods that are regularly promoted</w:t>
      </w:r>
      <w:r w:rsidR="00191CE4">
        <w:rPr>
          <w:rFonts w:asciiTheme="minorHAnsi" w:hAnsiTheme="minorHAnsi"/>
          <w:sz w:val="22"/>
          <w:szCs w:val="22"/>
        </w:rPr>
        <w:t xml:space="preserve">, publicised </w:t>
      </w:r>
      <w:r w:rsidR="00474A1E">
        <w:rPr>
          <w:rFonts w:asciiTheme="minorHAnsi" w:hAnsiTheme="minorHAnsi"/>
          <w:sz w:val="22"/>
          <w:szCs w:val="22"/>
        </w:rPr>
        <w:t>and reviewed</w:t>
      </w:r>
    </w:p>
    <w:p w:rsidR="00474A1E" w:rsidRDefault="005D5F61"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aim to a</w:t>
      </w:r>
      <w:r w:rsidR="00474A1E">
        <w:rPr>
          <w:rFonts w:asciiTheme="minorHAnsi" w:hAnsiTheme="minorHAnsi"/>
          <w:sz w:val="22"/>
          <w:szCs w:val="22"/>
        </w:rPr>
        <w:t>chiev</w:t>
      </w:r>
      <w:r>
        <w:rPr>
          <w:rFonts w:asciiTheme="minorHAnsi" w:hAnsiTheme="minorHAnsi"/>
          <w:sz w:val="22"/>
          <w:szCs w:val="22"/>
        </w:rPr>
        <w:t>e</w:t>
      </w:r>
      <w:r w:rsidR="00474A1E">
        <w:rPr>
          <w:rFonts w:asciiTheme="minorHAnsi" w:hAnsiTheme="minorHAnsi"/>
          <w:sz w:val="22"/>
          <w:szCs w:val="22"/>
        </w:rPr>
        <w:t xml:space="preserve"> a reduction in arrears</w:t>
      </w:r>
      <w:r>
        <w:rPr>
          <w:rFonts w:asciiTheme="minorHAnsi" w:hAnsiTheme="minorHAnsi"/>
          <w:sz w:val="22"/>
          <w:szCs w:val="22"/>
        </w:rPr>
        <w:t>, year on year,</w:t>
      </w:r>
      <w:r w:rsidR="00474A1E">
        <w:rPr>
          <w:rFonts w:asciiTheme="minorHAnsi" w:hAnsiTheme="minorHAnsi"/>
          <w:sz w:val="22"/>
          <w:szCs w:val="22"/>
        </w:rPr>
        <w:t xml:space="preserve"> by collecting rent and service charges due</w:t>
      </w:r>
    </w:p>
    <w:p w:rsidR="004E2222" w:rsidRDefault="004E2222" w:rsidP="004E2222">
      <w:pPr>
        <w:pStyle w:val="Default"/>
        <w:ind w:left="1134"/>
        <w:jc w:val="both"/>
        <w:rPr>
          <w:rFonts w:asciiTheme="minorHAnsi" w:hAnsiTheme="minorHAnsi"/>
          <w:sz w:val="22"/>
          <w:szCs w:val="22"/>
        </w:rPr>
      </w:pPr>
    </w:p>
    <w:p w:rsidR="004E2222" w:rsidRDefault="004E2222" w:rsidP="004E2222">
      <w:pPr>
        <w:pStyle w:val="Default"/>
        <w:ind w:left="1134"/>
        <w:jc w:val="both"/>
        <w:rPr>
          <w:rFonts w:asciiTheme="minorHAnsi" w:hAnsiTheme="minorHAnsi"/>
          <w:sz w:val="22"/>
          <w:szCs w:val="22"/>
        </w:rPr>
      </w:pPr>
    </w:p>
    <w:p w:rsidR="00191CE4" w:rsidRPr="004E2222" w:rsidRDefault="005D5F61" w:rsidP="004E2222">
      <w:pPr>
        <w:pStyle w:val="Default"/>
        <w:numPr>
          <w:ilvl w:val="0"/>
          <w:numId w:val="29"/>
        </w:numPr>
        <w:ind w:left="1134" w:hanging="414"/>
        <w:jc w:val="both"/>
        <w:rPr>
          <w:rFonts w:asciiTheme="minorHAnsi" w:hAnsiTheme="minorHAnsi"/>
          <w:sz w:val="22"/>
          <w:szCs w:val="22"/>
        </w:rPr>
      </w:pPr>
      <w:r w:rsidRPr="004E2222">
        <w:rPr>
          <w:rFonts w:asciiTheme="minorHAnsi" w:hAnsiTheme="minorHAnsi"/>
          <w:sz w:val="22"/>
          <w:szCs w:val="22"/>
        </w:rPr>
        <w:t>We aim to a</w:t>
      </w:r>
      <w:r w:rsidR="00E24F59" w:rsidRPr="004E2222">
        <w:rPr>
          <w:rFonts w:asciiTheme="minorHAnsi" w:hAnsiTheme="minorHAnsi"/>
          <w:sz w:val="22"/>
          <w:szCs w:val="22"/>
        </w:rPr>
        <w:t>chiev</w:t>
      </w:r>
      <w:r w:rsidRPr="004E2222">
        <w:rPr>
          <w:rFonts w:asciiTheme="minorHAnsi" w:hAnsiTheme="minorHAnsi"/>
          <w:sz w:val="22"/>
          <w:szCs w:val="22"/>
        </w:rPr>
        <w:t>e</w:t>
      </w:r>
      <w:r w:rsidR="00E24F59" w:rsidRPr="004E2222">
        <w:rPr>
          <w:rFonts w:asciiTheme="minorHAnsi" w:hAnsiTheme="minorHAnsi"/>
          <w:sz w:val="22"/>
          <w:szCs w:val="22"/>
        </w:rPr>
        <w:t xml:space="preserve"> maximum housing benefit / housing</w:t>
      </w:r>
      <w:r w:rsidR="009257FD" w:rsidRPr="004E2222">
        <w:rPr>
          <w:rFonts w:asciiTheme="minorHAnsi" w:hAnsiTheme="minorHAnsi"/>
          <w:sz w:val="22"/>
          <w:szCs w:val="22"/>
        </w:rPr>
        <w:t xml:space="preserve"> cost</w:t>
      </w:r>
      <w:r w:rsidR="00E24F59" w:rsidRPr="004E2222">
        <w:rPr>
          <w:rFonts w:asciiTheme="minorHAnsi" w:hAnsiTheme="minorHAnsi"/>
          <w:sz w:val="22"/>
          <w:szCs w:val="22"/>
        </w:rPr>
        <w:t xml:space="preserve"> element of Universal Credit take up and accurate assessments and payment of benefit through advice and verification of claims</w:t>
      </w:r>
    </w:p>
    <w:p w:rsidR="00FA7460" w:rsidRPr="00191CE4" w:rsidRDefault="005D5F61" w:rsidP="00710C18">
      <w:pPr>
        <w:pStyle w:val="Default"/>
        <w:numPr>
          <w:ilvl w:val="0"/>
          <w:numId w:val="29"/>
        </w:numPr>
        <w:ind w:left="1134" w:hanging="414"/>
        <w:jc w:val="both"/>
        <w:rPr>
          <w:rFonts w:asciiTheme="minorHAnsi" w:hAnsiTheme="minorHAnsi"/>
          <w:sz w:val="22"/>
          <w:szCs w:val="22"/>
        </w:rPr>
      </w:pPr>
      <w:r w:rsidRPr="00191CE4">
        <w:rPr>
          <w:rFonts w:asciiTheme="minorHAnsi" w:hAnsiTheme="minorHAnsi"/>
          <w:sz w:val="22"/>
          <w:szCs w:val="22"/>
        </w:rPr>
        <w:t>We will e</w:t>
      </w:r>
      <w:r w:rsidR="00FA7460" w:rsidRPr="00191CE4">
        <w:rPr>
          <w:rFonts w:asciiTheme="minorHAnsi" w:hAnsiTheme="minorHAnsi"/>
          <w:sz w:val="22"/>
          <w:szCs w:val="22"/>
        </w:rPr>
        <w:t>nabl</w:t>
      </w:r>
      <w:r w:rsidRPr="00191CE4">
        <w:rPr>
          <w:rFonts w:asciiTheme="minorHAnsi" w:hAnsiTheme="minorHAnsi"/>
          <w:sz w:val="22"/>
          <w:szCs w:val="22"/>
        </w:rPr>
        <w:t>e</w:t>
      </w:r>
      <w:r w:rsidR="00FA7460" w:rsidRPr="00191CE4">
        <w:rPr>
          <w:rFonts w:asciiTheme="minorHAnsi" w:hAnsiTheme="minorHAnsi"/>
          <w:sz w:val="22"/>
          <w:szCs w:val="22"/>
        </w:rPr>
        <w:t xml:space="preserve"> customers to manage their rent accounts (and other bills) through the provision of </w:t>
      </w:r>
      <w:r w:rsidR="00191CE4" w:rsidRPr="00191CE4">
        <w:rPr>
          <w:rFonts w:asciiTheme="minorHAnsi" w:hAnsiTheme="minorHAnsi"/>
          <w:sz w:val="22"/>
          <w:szCs w:val="22"/>
        </w:rPr>
        <w:t>postal or online access to</w:t>
      </w:r>
      <w:r w:rsidR="00FA7460" w:rsidRPr="00191CE4">
        <w:rPr>
          <w:rFonts w:asciiTheme="minorHAnsi" w:hAnsiTheme="minorHAnsi"/>
          <w:sz w:val="22"/>
          <w:szCs w:val="22"/>
        </w:rPr>
        <w:t xml:space="preserve"> rent statements, customer information leaflets and newsletters, attendance at community events and through One Manchester’s website</w:t>
      </w:r>
    </w:p>
    <w:p w:rsidR="00FA7460" w:rsidRDefault="005D5F61"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e</w:t>
      </w:r>
      <w:r w:rsidR="00FA7460">
        <w:rPr>
          <w:rFonts w:asciiTheme="minorHAnsi" w:hAnsiTheme="minorHAnsi"/>
          <w:sz w:val="22"/>
          <w:szCs w:val="22"/>
        </w:rPr>
        <w:t>nsur</w:t>
      </w:r>
      <w:r>
        <w:rPr>
          <w:rFonts w:asciiTheme="minorHAnsi" w:hAnsiTheme="minorHAnsi"/>
          <w:sz w:val="22"/>
          <w:szCs w:val="22"/>
        </w:rPr>
        <w:t>e</w:t>
      </w:r>
      <w:r w:rsidR="00FA7460">
        <w:rPr>
          <w:rFonts w:asciiTheme="minorHAnsi" w:hAnsiTheme="minorHAnsi"/>
          <w:sz w:val="22"/>
          <w:szCs w:val="22"/>
        </w:rPr>
        <w:t xml:space="preserve"> special circumstances and vulnerability are recognised and considered in income maximisation, advice and assistance</w:t>
      </w:r>
    </w:p>
    <w:p w:rsidR="00191CE4" w:rsidRDefault="00191CE4"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make information available to customers on how to pay their rent and what to do if they fall in</w:t>
      </w:r>
      <w:r w:rsidR="00EE2918">
        <w:rPr>
          <w:rFonts w:asciiTheme="minorHAnsi" w:hAnsiTheme="minorHAnsi"/>
          <w:sz w:val="22"/>
          <w:szCs w:val="22"/>
        </w:rPr>
        <w:t>to</w:t>
      </w:r>
      <w:r>
        <w:rPr>
          <w:rFonts w:asciiTheme="minorHAnsi" w:hAnsiTheme="minorHAnsi"/>
          <w:sz w:val="22"/>
          <w:szCs w:val="22"/>
        </w:rPr>
        <w:t xml:space="preserve"> rent arrears </w:t>
      </w:r>
    </w:p>
    <w:p w:rsidR="00396B65" w:rsidRDefault="00396B65"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 xml:space="preserve">We will set up payment arrangements for arrears after affordability assessments have been set up </w:t>
      </w:r>
      <w:r w:rsidR="00C1465D">
        <w:rPr>
          <w:rFonts w:asciiTheme="minorHAnsi" w:hAnsiTheme="minorHAnsi"/>
          <w:sz w:val="22"/>
          <w:szCs w:val="22"/>
        </w:rPr>
        <w:t>following</w:t>
      </w:r>
      <w:r>
        <w:rPr>
          <w:rFonts w:asciiTheme="minorHAnsi" w:hAnsiTheme="minorHAnsi"/>
          <w:sz w:val="22"/>
          <w:szCs w:val="22"/>
        </w:rPr>
        <w:t xml:space="preserve"> analysis of the customer’s financial position </w:t>
      </w:r>
    </w:p>
    <w:p w:rsidR="00FA7460" w:rsidRDefault="00BC795F"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u</w:t>
      </w:r>
      <w:r w:rsidR="00FA7460">
        <w:rPr>
          <w:rFonts w:asciiTheme="minorHAnsi" w:hAnsiTheme="minorHAnsi"/>
          <w:sz w:val="22"/>
          <w:szCs w:val="22"/>
        </w:rPr>
        <w:t>tilis</w:t>
      </w:r>
      <w:r>
        <w:rPr>
          <w:rFonts w:asciiTheme="minorHAnsi" w:hAnsiTheme="minorHAnsi"/>
          <w:sz w:val="22"/>
          <w:szCs w:val="22"/>
        </w:rPr>
        <w:t>e</w:t>
      </w:r>
      <w:r w:rsidR="00FA7460">
        <w:rPr>
          <w:rFonts w:asciiTheme="minorHAnsi" w:hAnsiTheme="minorHAnsi"/>
          <w:sz w:val="22"/>
          <w:szCs w:val="22"/>
        </w:rPr>
        <w:t xml:space="preserve"> </w:t>
      </w:r>
      <w:r w:rsidR="00DA0596">
        <w:rPr>
          <w:rFonts w:asciiTheme="minorHAnsi" w:hAnsiTheme="minorHAnsi"/>
          <w:sz w:val="22"/>
          <w:szCs w:val="22"/>
        </w:rPr>
        <w:t xml:space="preserve">dis-aggregated </w:t>
      </w:r>
      <w:r w:rsidR="00FA7460">
        <w:rPr>
          <w:rFonts w:asciiTheme="minorHAnsi" w:hAnsiTheme="minorHAnsi"/>
          <w:sz w:val="22"/>
          <w:szCs w:val="22"/>
        </w:rPr>
        <w:t xml:space="preserve">customer </w:t>
      </w:r>
      <w:r>
        <w:rPr>
          <w:rFonts w:asciiTheme="minorHAnsi" w:hAnsiTheme="minorHAnsi"/>
          <w:sz w:val="22"/>
          <w:szCs w:val="22"/>
        </w:rPr>
        <w:t>insight</w:t>
      </w:r>
      <w:r w:rsidR="00FA7460">
        <w:rPr>
          <w:rFonts w:asciiTheme="minorHAnsi" w:hAnsiTheme="minorHAnsi"/>
          <w:sz w:val="22"/>
          <w:szCs w:val="22"/>
        </w:rPr>
        <w:t xml:space="preserve"> data to target appropriate advice and services</w:t>
      </w:r>
      <w:r w:rsidR="00DE13AB">
        <w:rPr>
          <w:rFonts w:asciiTheme="minorHAnsi" w:hAnsiTheme="minorHAnsi"/>
          <w:sz w:val="22"/>
          <w:szCs w:val="22"/>
        </w:rPr>
        <w:t xml:space="preserve"> and to review trends of non-payment geographically and by diversity strand</w:t>
      </w:r>
    </w:p>
    <w:p w:rsidR="009257FD" w:rsidRDefault="009257FD"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develop approaches for using data to predict the potential payment patterns and implement approaches to reduce the impact of irregular payment patterns</w:t>
      </w:r>
    </w:p>
    <w:p w:rsidR="00DE13AB"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work closely</w:t>
      </w:r>
      <w:r w:rsidR="00DE13AB">
        <w:rPr>
          <w:rFonts w:asciiTheme="minorHAnsi" w:hAnsiTheme="minorHAnsi"/>
          <w:sz w:val="22"/>
          <w:szCs w:val="22"/>
        </w:rPr>
        <w:t xml:space="preserve"> with Manchester City Council’s Revenue and Benefits section and the Department for Work &amp; Pensions</w:t>
      </w:r>
    </w:p>
    <w:p w:rsidR="00DE13AB"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work to p</w:t>
      </w:r>
      <w:r w:rsidR="00DE13AB">
        <w:rPr>
          <w:rFonts w:asciiTheme="minorHAnsi" w:hAnsiTheme="minorHAnsi"/>
          <w:sz w:val="22"/>
          <w:szCs w:val="22"/>
        </w:rPr>
        <w:t>revent homelessness, wherever possible, by appropriate intervention, timely advice and liaison with appropriate agencies</w:t>
      </w:r>
    </w:p>
    <w:p w:rsidR="00C73F3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 xml:space="preserve">We will provide help and support to </w:t>
      </w:r>
      <w:r w:rsidR="00C73F37">
        <w:rPr>
          <w:rFonts w:asciiTheme="minorHAnsi" w:hAnsiTheme="minorHAnsi"/>
          <w:sz w:val="22"/>
          <w:szCs w:val="22"/>
        </w:rPr>
        <w:t>customers to claim welfare benefits, request reconsiderations and appeal benefit decisions where appropriate</w:t>
      </w:r>
    </w:p>
    <w:p w:rsidR="00C73F3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w</w:t>
      </w:r>
      <w:r w:rsidR="00C73F37">
        <w:rPr>
          <w:rFonts w:asciiTheme="minorHAnsi" w:hAnsiTheme="minorHAnsi"/>
          <w:sz w:val="22"/>
          <w:szCs w:val="22"/>
        </w:rPr>
        <w:t>ork collaboratively across the business to ensure effective joint working and information sharing</w:t>
      </w:r>
    </w:p>
    <w:p w:rsidR="00FF12C3" w:rsidRPr="001C1B27" w:rsidRDefault="00CB7BA0" w:rsidP="00710C18">
      <w:pPr>
        <w:pStyle w:val="Default"/>
        <w:numPr>
          <w:ilvl w:val="0"/>
          <w:numId w:val="29"/>
        </w:numPr>
        <w:ind w:left="1134" w:hanging="414"/>
        <w:jc w:val="both"/>
        <w:rPr>
          <w:rFonts w:asciiTheme="minorHAnsi" w:hAnsiTheme="minorHAnsi"/>
          <w:color w:val="auto"/>
          <w:sz w:val="22"/>
          <w:szCs w:val="22"/>
        </w:rPr>
      </w:pPr>
      <w:r>
        <w:rPr>
          <w:rFonts w:asciiTheme="minorHAnsi" w:hAnsiTheme="minorHAnsi"/>
          <w:color w:val="auto"/>
          <w:sz w:val="22"/>
          <w:szCs w:val="22"/>
        </w:rPr>
        <w:t>We will i</w:t>
      </w:r>
      <w:r w:rsidR="00FF12C3" w:rsidRPr="001C1B27">
        <w:rPr>
          <w:rFonts w:asciiTheme="minorHAnsi" w:hAnsiTheme="minorHAnsi"/>
          <w:color w:val="auto"/>
          <w:sz w:val="22"/>
          <w:szCs w:val="22"/>
        </w:rPr>
        <w:t>nitiat</w:t>
      </w:r>
      <w:r>
        <w:rPr>
          <w:rFonts w:asciiTheme="minorHAnsi" w:hAnsiTheme="minorHAnsi"/>
          <w:color w:val="auto"/>
          <w:sz w:val="22"/>
          <w:szCs w:val="22"/>
        </w:rPr>
        <w:t>e</w:t>
      </w:r>
      <w:r w:rsidR="00FF12C3" w:rsidRPr="001C1B27">
        <w:rPr>
          <w:rFonts w:asciiTheme="minorHAnsi" w:hAnsiTheme="minorHAnsi"/>
          <w:color w:val="auto"/>
          <w:sz w:val="22"/>
          <w:szCs w:val="22"/>
        </w:rPr>
        <w:t xml:space="preserve"> the appropriate legal action without undue delay against tenants whose arrears are escalating and are not engaging with </w:t>
      </w:r>
      <w:r>
        <w:rPr>
          <w:rFonts w:asciiTheme="minorHAnsi" w:hAnsiTheme="minorHAnsi"/>
          <w:color w:val="auto"/>
          <w:sz w:val="22"/>
          <w:szCs w:val="22"/>
        </w:rPr>
        <w:t>us</w:t>
      </w:r>
      <w:r w:rsidR="00396B65">
        <w:rPr>
          <w:rFonts w:asciiTheme="minorHAnsi" w:hAnsiTheme="minorHAnsi"/>
          <w:color w:val="auto"/>
          <w:sz w:val="22"/>
          <w:szCs w:val="22"/>
        </w:rPr>
        <w:t xml:space="preserve"> with due consid</w:t>
      </w:r>
      <w:r w:rsidR="00EE2918">
        <w:rPr>
          <w:rFonts w:asciiTheme="minorHAnsi" w:hAnsiTheme="minorHAnsi"/>
          <w:color w:val="auto"/>
          <w:sz w:val="22"/>
          <w:szCs w:val="22"/>
        </w:rPr>
        <w:t>eration to the Court’s Protocol</w:t>
      </w:r>
    </w:p>
    <w:p w:rsidR="00BC689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t</w:t>
      </w:r>
      <w:r w:rsidR="00BC6897">
        <w:rPr>
          <w:rFonts w:asciiTheme="minorHAnsi" w:hAnsiTheme="minorHAnsi"/>
          <w:sz w:val="22"/>
          <w:szCs w:val="22"/>
        </w:rPr>
        <w:t>reat eviction as the last resort when clear and deliberate failure to pay is apparent</w:t>
      </w:r>
    </w:p>
    <w:p w:rsidR="00C007D2" w:rsidRDefault="00C007D2" w:rsidP="00710C18">
      <w:pPr>
        <w:pStyle w:val="Default"/>
        <w:numPr>
          <w:ilvl w:val="0"/>
          <w:numId w:val="29"/>
        </w:numPr>
        <w:ind w:left="1134" w:hanging="414"/>
        <w:jc w:val="both"/>
        <w:rPr>
          <w:rFonts w:asciiTheme="minorHAnsi" w:hAnsiTheme="minorHAnsi"/>
          <w:sz w:val="22"/>
          <w:szCs w:val="22"/>
        </w:rPr>
      </w:pPr>
      <w:r w:rsidRPr="00C007D2">
        <w:rPr>
          <w:rFonts w:asciiTheme="minorHAnsi" w:hAnsiTheme="minorHAnsi"/>
          <w:sz w:val="22"/>
          <w:szCs w:val="22"/>
        </w:rPr>
        <w:t xml:space="preserve">Where appropriate, we will use mandatory grounds for possession </w:t>
      </w:r>
    </w:p>
    <w:p w:rsidR="00BC6897" w:rsidRPr="00C007D2" w:rsidRDefault="00CB7BA0" w:rsidP="00710C18">
      <w:pPr>
        <w:pStyle w:val="Default"/>
        <w:numPr>
          <w:ilvl w:val="0"/>
          <w:numId w:val="29"/>
        </w:numPr>
        <w:ind w:left="1134" w:hanging="414"/>
        <w:jc w:val="both"/>
        <w:rPr>
          <w:rFonts w:asciiTheme="minorHAnsi" w:hAnsiTheme="minorHAnsi"/>
          <w:sz w:val="22"/>
          <w:szCs w:val="22"/>
        </w:rPr>
      </w:pPr>
      <w:r w:rsidRPr="00C007D2">
        <w:rPr>
          <w:rFonts w:asciiTheme="minorHAnsi" w:hAnsiTheme="minorHAnsi"/>
          <w:sz w:val="22"/>
          <w:szCs w:val="22"/>
        </w:rPr>
        <w:t>We will w</w:t>
      </w:r>
      <w:r w:rsidR="00BC6897" w:rsidRPr="00C007D2">
        <w:rPr>
          <w:rFonts w:asciiTheme="minorHAnsi" w:hAnsiTheme="minorHAnsi"/>
          <w:sz w:val="22"/>
          <w:szCs w:val="22"/>
        </w:rPr>
        <w:t xml:space="preserve">ork with other agencies to promote financial inclusion and </w:t>
      </w:r>
      <w:r w:rsidRPr="00C007D2">
        <w:rPr>
          <w:rFonts w:asciiTheme="minorHAnsi" w:hAnsiTheme="minorHAnsi"/>
          <w:sz w:val="22"/>
          <w:szCs w:val="22"/>
        </w:rPr>
        <w:t xml:space="preserve">a </w:t>
      </w:r>
      <w:r w:rsidR="00BC6897" w:rsidRPr="00C007D2">
        <w:rPr>
          <w:rFonts w:asciiTheme="minorHAnsi" w:hAnsiTheme="minorHAnsi"/>
          <w:sz w:val="22"/>
          <w:szCs w:val="22"/>
        </w:rPr>
        <w:t>joined up service delivery</w:t>
      </w:r>
    </w:p>
    <w:p w:rsidR="00BC689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c</w:t>
      </w:r>
      <w:r w:rsidR="00BC6897">
        <w:rPr>
          <w:rFonts w:asciiTheme="minorHAnsi" w:hAnsiTheme="minorHAnsi"/>
          <w:sz w:val="22"/>
          <w:szCs w:val="22"/>
        </w:rPr>
        <w:t>ontinu</w:t>
      </w:r>
      <w:r>
        <w:rPr>
          <w:rFonts w:asciiTheme="minorHAnsi" w:hAnsiTheme="minorHAnsi"/>
          <w:sz w:val="22"/>
          <w:szCs w:val="22"/>
        </w:rPr>
        <w:t>e</w:t>
      </w:r>
      <w:r w:rsidR="00BC6897">
        <w:rPr>
          <w:rFonts w:asciiTheme="minorHAnsi" w:hAnsiTheme="minorHAnsi"/>
          <w:sz w:val="22"/>
          <w:szCs w:val="22"/>
        </w:rPr>
        <w:t xml:space="preserve"> to pro</w:t>
      </w:r>
      <w:r w:rsidR="00E0665A" w:rsidRPr="00E0665A">
        <w:rPr>
          <w:rFonts w:asciiTheme="minorHAnsi" w:hAnsiTheme="minorHAnsi"/>
          <w:color w:val="FF0000"/>
          <w:sz w:val="22"/>
          <w:szCs w:val="22"/>
        </w:rPr>
        <w:t>-</w:t>
      </w:r>
      <w:r w:rsidR="00BC6897">
        <w:rPr>
          <w:rFonts w:asciiTheme="minorHAnsi" w:hAnsiTheme="minorHAnsi"/>
          <w:sz w:val="22"/>
          <w:szCs w:val="22"/>
        </w:rPr>
        <w:t>actively respond to welfare reform</w:t>
      </w:r>
    </w:p>
    <w:p w:rsidR="00BC689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color w:val="auto"/>
          <w:sz w:val="22"/>
          <w:szCs w:val="22"/>
        </w:rPr>
        <w:t>We will e</w:t>
      </w:r>
      <w:r w:rsidR="00BC6897" w:rsidRPr="002E1CDD">
        <w:rPr>
          <w:rFonts w:asciiTheme="minorHAnsi" w:hAnsiTheme="minorHAnsi"/>
          <w:color w:val="auto"/>
          <w:sz w:val="22"/>
          <w:szCs w:val="22"/>
        </w:rPr>
        <w:t>nsur</w:t>
      </w:r>
      <w:r>
        <w:rPr>
          <w:rFonts w:asciiTheme="minorHAnsi" w:hAnsiTheme="minorHAnsi"/>
          <w:color w:val="auto"/>
          <w:sz w:val="22"/>
          <w:szCs w:val="22"/>
        </w:rPr>
        <w:t>e</w:t>
      </w:r>
      <w:r w:rsidR="00BC6897" w:rsidRPr="002E1CDD">
        <w:rPr>
          <w:rFonts w:asciiTheme="minorHAnsi" w:hAnsiTheme="minorHAnsi"/>
          <w:color w:val="auto"/>
          <w:sz w:val="22"/>
          <w:szCs w:val="22"/>
        </w:rPr>
        <w:t xml:space="preserve"> o</w:t>
      </w:r>
      <w:r w:rsidR="00E0665A" w:rsidRPr="002E1CDD">
        <w:rPr>
          <w:rFonts w:asciiTheme="minorHAnsi" w:hAnsiTheme="minorHAnsi"/>
          <w:color w:val="auto"/>
          <w:sz w:val="22"/>
          <w:szCs w:val="22"/>
        </w:rPr>
        <w:t>u</w:t>
      </w:r>
      <w:r w:rsidR="00BC6897" w:rsidRPr="002E1CDD">
        <w:rPr>
          <w:rFonts w:asciiTheme="minorHAnsi" w:hAnsiTheme="minorHAnsi"/>
          <w:color w:val="auto"/>
          <w:sz w:val="22"/>
          <w:szCs w:val="22"/>
        </w:rPr>
        <w:t xml:space="preserve">r </w:t>
      </w:r>
      <w:r w:rsidR="00BC6897">
        <w:rPr>
          <w:rFonts w:asciiTheme="minorHAnsi" w:hAnsiTheme="minorHAnsi"/>
          <w:sz w:val="22"/>
          <w:szCs w:val="22"/>
        </w:rPr>
        <w:t>Financial Inclusion Service dovetails effectively with the Income Recovery Service and that it maximises value to One Manchester and our customers</w:t>
      </w:r>
    </w:p>
    <w:p w:rsidR="00BC6897" w:rsidRDefault="00CB7BA0"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su</w:t>
      </w:r>
      <w:r w:rsidR="00BC6897">
        <w:rPr>
          <w:rFonts w:asciiTheme="minorHAnsi" w:hAnsiTheme="minorHAnsi"/>
          <w:sz w:val="22"/>
          <w:szCs w:val="22"/>
        </w:rPr>
        <w:t xml:space="preserve">pport customers in applying for and obtaining employment in accordance with our employment and support </w:t>
      </w:r>
      <w:r w:rsidR="00D42DE2">
        <w:rPr>
          <w:rFonts w:asciiTheme="minorHAnsi" w:hAnsiTheme="minorHAnsi"/>
          <w:sz w:val="22"/>
          <w:szCs w:val="22"/>
        </w:rPr>
        <w:t>strategies</w:t>
      </w:r>
    </w:p>
    <w:p w:rsidR="00C007D2" w:rsidRDefault="00C007D2" w:rsidP="00710C18">
      <w:pPr>
        <w:pStyle w:val="Default"/>
        <w:numPr>
          <w:ilvl w:val="0"/>
          <w:numId w:val="29"/>
        </w:numPr>
        <w:ind w:left="1134" w:hanging="414"/>
        <w:jc w:val="both"/>
        <w:rPr>
          <w:rFonts w:asciiTheme="minorHAnsi" w:hAnsiTheme="minorHAnsi"/>
          <w:sz w:val="22"/>
          <w:szCs w:val="22"/>
        </w:rPr>
      </w:pPr>
      <w:r>
        <w:rPr>
          <w:rFonts w:asciiTheme="minorHAnsi" w:hAnsiTheme="minorHAnsi"/>
          <w:sz w:val="22"/>
          <w:szCs w:val="22"/>
        </w:rPr>
        <w:t>We will strive to achieve Value for Money in the delivery of this policy and in conjunction with One Manchester’s Value for Money Strategy</w:t>
      </w:r>
    </w:p>
    <w:p w:rsidR="00A4702B" w:rsidRPr="00A4702B" w:rsidRDefault="00A4702B" w:rsidP="00710C18">
      <w:pPr>
        <w:pStyle w:val="Default"/>
        <w:jc w:val="both"/>
        <w:rPr>
          <w:rFonts w:asciiTheme="minorHAnsi" w:hAnsiTheme="minorHAnsi"/>
          <w:sz w:val="22"/>
          <w:szCs w:val="22"/>
        </w:rPr>
      </w:pPr>
    </w:p>
    <w:p w:rsidR="00E80917" w:rsidRPr="001C3F13" w:rsidRDefault="00C64842" w:rsidP="001C3F13">
      <w:pPr>
        <w:spacing w:after="0" w:line="240" w:lineRule="auto"/>
        <w:jc w:val="both"/>
        <w:rPr>
          <w:rFonts w:cs="Arial"/>
          <w:b/>
        </w:rPr>
      </w:pPr>
      <w:r w:rsidRPr="00A4702B">
        <w:rPr>
          <w:rFonts w:cs="Arial"/>
          <w:b/>
        </w:rPr>
        <w:t>5.0</w:t>
      </w:r>
      <w:r w:rsidRPr="00A4702B">
        <w:rPr>
          <w:rFonts w:cs="Arial"/>
          <w:b/>
        </w:rPr>
        <w:tab/>
      </w:r>
      <w:r w:rsidR="00DA5C52">
        <w:rPr>
          <w:rFonts w:cs="Arial"/>
          <w:b/>
        </w:rPr>
        <w:t xml:space="preserve">Equality </w:t>
      </w:r>
    </w:p>
    <w:p w:rsidR="00664A31" w:rsidRDefault="00664A31" w:rsidP="001C3F13">
      <w:pPr>
        <w:spacing w:after="0" w:line="240" w:lineRule="auto"/>
        <w:ind w:left="720"/>
        <w:jc w:val="both"/>
        <w:rPr>
          <w:rFonts w:cs="Arial"/>
        </w:rPr>
      </w:pPr>
      <w:r w:rsidRPr="001C3F13">
        <w:rPr>
          <w:rFonts w:cs="Arial"/>
        </w:rPr>
        <w:t>One Manchester will ensure that this policy is applied fairly to all our customers.  We will not directly or indirectly discriminate against any person or group of people because of their race, religion, gender, marital status, sexual orientation, disability or other grounds set out in our Equality, Diversity and Inclusion Policy.</w:t>
      </w:r>
    </w:p>
    <w:p w:rsidR="001C3F13" w:rsidRPr="001C3F13" w:rsidRDefault="001C3F13" w:rsidP="001C3F13">
      <w:pPr>
        <w:spacing w:after="0" w:line="240" w:lineRule="auto"/>
        <w:ind w:left="720"/>
        <w:jc w:val="both"/>
        <w:rPr>
          <w:rFonts w:cs="Arial"/>
        </w:rPr>
      </w:pPr>
    </w:p>
    <w:p w:rsidR="00664A31" w:rsidRDefault="00664A31" w:rsidP="001C3F13">
      <w:pPr>
        <w:spacing w:after="0" w:line="240" w:lineRule="auto"/>
        <w:ind w:left="720"/>
        <w:jc w:val="both"/>
        <w:rPr>
          <w:rFonts w:cs="Arial"/>
        </w:rPr>
      </w:pPr>
      <w:r w:rsidRPr="001C3F13">
        <w:rPr>
          <w:rFonts w:cs="Arial"/>
        </w:rPr>
        <w:t>An Equality Impact Assessment has been carried out on this policy</w:t>
      </w:r>
    </w:p>
    <w:p w:rsidR="001C3F13" w:rsidRPr="001C3F13" w:rsidRDefault="001C3F13" w:rsidP="001C3F13">
      <w:pPr>
        <w:spacing w:after="0" w:line="240" w:lineRule="auto"/>
        <w:ind w:left="720"/>
        <w:jc w:val="both"/>
        <w:rPr>
          <w:rFonts w:cs="Arial"/>
        </w:rPr>
      </w:pPr>
    </w:p>
    <w:p w:rsidR="00C64842" w:rsidRPr="00A4702B" w:rsidRDefault="00664A31" w:rsidP="00710C18">
      <w:pPr>
        <w:spacing w:after="0" w:line="240" w:lineRule="auto"/>
        <w:jc w:val="both"/>
        <w:rPr>
          <w:rFonts w:cs="Arial"/>
          <w:b/>
        </w:rPr>
      </w:pPr>
      <w:r>
        <w:rPr>
          <w:rFonts w:cs="Arial"/>
          <w:b/>
        </w:rPr>
        <w:t>6.0</w:t>
      </w:r>
      <w:r>
        <w:rPr>
          <w:rFonts w:cs="Arial"/>
          <w:b/>
        </w:rPr>
        <w:tab/>
      </w:r>
      <w:r w:rsidR="00C64842" w:rsidRPr="00A4702B">
        <w:rPr>
          <w:rFonts w:cs="Arial"/>
          <w:b/>
        </w:rPr>
        <w:t>Method and approach</w:t>
      </w:r>
    </w:p>
    <w:p w:rsidR="00C64842" w:rsidRDefault="00C64842" w:rsidP="00710C18">
      <w:pPr>
        <w:spacing w:after="0" w:line="240" w:lineRule="auto"/>
        <w:ind w:left="720"/>
        <w:jc w:val="both"/>
        <w:rPr>
          <w:rFonts w:cs="Arial"/>
        </w:rPr>
      </w:pPr>
      <w:r w:rsidRPr="00A4702B">
        <w:rPr>
          <w:rFonts w:cs="Arial"/>
        </w:rPr>
        <w:t>This policy should be read in conjunction with the detailed procedures and guidance notes to meet its aims</w:t>
      </w:r>
      <w:r w:rsidR="00503C4E">
        <w:rPr>
          <w:rFonts w:cs="Arial"/>
        </w:rPr>
        <w:t>.</w:t>
      </w:r>
    </w:p>
    <w:p w:rsidR="004E2222" w:rsidRDefault="004E2222" w:rsidP="00710C18">
      <w:pPr>
        <w:spacing w:after="0" w:line="240" w:lineRule="auto"/>
        <w:ind w:left="720"/>
        <w:jc w:val="both"/>
        <w:rPr>
          <w:rFonts w:cs="Arial"/>
        </w:rPr>
      </w:pPr>
    </w:p>
    <w:p w:rsidR="004E2222" w:rsidRDefault="004E2222" w:rsidP="00710C18">
      <w:pPr>
        <w:spacing w:after="0" w:line="240" w:lineRule="auto"/>
        <w:ind w:left="720"/>
        <w:jc w:val="both"/>
        <w:rPr>
          <w:rFonts w:cs="Arial"/>
        </w:rPr>
      </w:pPr>
    </w:p>
    <w:p w:rsidR="007741BE" w:rsidRPr="00EB0D3B" w:rsidRDefault="007741BE" w:rsidP="00710C18">
      <w:pPr>
        <w:spacing w:after="0" w:line="240" w:lineRule="auto"/>
        <w:ind w:left="720"/>
        <w:jc w:val="both"/>
        <w:rPr>
          <w:rFonts w:cs="Arial"/>
        </w:rPr>
      </w:pPr>
    </w:p>
    <w:p w:rsidR="004E2222" w:rsidRDefault="004E2222" w:rsidP="00710C18">
      <w:pPr>
        <w:spacing w:after="0" w:line="240" w:lineRule="auto"/>
        <w:jc w:val="both"/>
        <w:rPr>
          <w:rFonts w:cs="Arial"/>
          <w:b/>
        </w:rPr>
      </w:pPr>
    </w:p>
    <w:p w:rsidR="004E2222" w:rsidRPr="00A77E67" w:rsidRDefault="00664A31" w:rsidP="00710C18">
      <w:pPr>
        <w:spacing w:after="0" w:line="240" w:lineRule="auto"/>
        <w:jc w:val="both"/>
        <w:rPr>
          <w:rFonts w:cs="Arial"/>
          <w:b/>
        </w:rPr>
      </w:pPr>
      <w:r>
        <w:rPr>
          <w:rFonts w:cs="Arial"/>
          <w:b/>
        </w:rPr>
        <w:t>7</w:t>
      </w:r>
      <w:r w:rsidR="00946D7C" w:rsidRPr="00A77E67">
        <w:rPr>
          <w:rFonts w:cs="Arial"/>
          <w:b/>
        </w:rPr>
        <w:t>.0</w:t>
      </w:r>
      <w:r w:rsidR="00946D7C" w:rsidRPr="00A77E67">
        <w:rPr>
          <w:rFonts w:cs="Arial"/>
          <w:b/>
        </w:rPr>
        <w:tab/>
        <w:t>Responsibility</w:t>
      </w:r>
    </w:p>
    <w:p w:rsidR="00D42DE2" w:rsidRDefault="00D42DE2" w:rsidP="00710C18">
      <w:pPr>
        <w:spacing w:after="0" w:line="240" w:lineRule="auto"/>
        <w:ind w:left="720"/>
        <w:jc w:val="both"/>
        <w:rPr>
          <w:rFonts w:cs="Arial"/>
        </w:rPr>
      </w:pPr>
      <w:r>
        <w:rPr>
          <w:rFonts w:cs="Arial"/>
        </w:rPr>
        <w:t xml:space="preserve">The Director of </w:t>
      </w:r>
      <w:r w:rsidR="00CB7BA0">
        <w:rPr>
          <w:rFonts w:cs="Arial"/>
        </w:rPr>
        <w:t>Communities</w:t>
      </w:r>
      <w:r>
        <w:rPr>
          <w:rFonts w:cs="Arial"/>
        </w:rPr>
        <w:t xml:space="preserve"> is responsible for ensuring this</w:t>
      </w:r>
      <w:r w:rsidR="00DC6518">
        <w:rPr>
          <w:rFonts w:cs="Arial"/>
        </w:rPr>
        <w:t xml:space="preserve"> policy complies with regulatory and legislative requirements</w:t>
      </w:r>
      <w:r>
        <w:rPr>
          <w:rFonts w:cs="Arial"/>
        </w:rPr>
        <w:t>.</w:t>
      </w:r>
    </w:p>
    <w:p w:rsidR="00D42DE2" w:rsidRDefault="00D42DE2" w:rsidP="00710C18">
      <w:pPr>
        <w:spacing w:after="0" w:line="240" w:lineRule="auto"/>
        <w:ind w:left="720"/>
        <w:jc w:val="both"/>
        <w:rPr>
          <w:rFonts w:cs="Arial"/>
        </w:rPr>
      </w:pPr>
    </w:p>
    <w:p w:rsidR="00946D7C" w:rsidRPr="00A77E67" w:rsidRDefault="00D42DE2" w:rsidP="00710C18">
      <w:pPr>
        <w:spacing w:after="0" w:line="240" w:lineRule="auto"/>
        <w:ind w:left="720"/>
        <w:jc w:val="both"/>
        <w:rPr>
          <w:rFonts w:cs="Arial"/>
        </w:rPr>
      </w:pPr>
      <w:r>
        <w:rPr>
          <w:rFonts w:cs="Arial"/>
        </w:rPr>
        <w:t>All staff within the Income Recovery section are required to comply with and implement this policy.</w:t>
      </w:r>
    </w:p>
    <w:p w:rsidR="00314C73" w:rsidRPr="00EB0D3B" w:rsidRDefault="00314C73" w:rsidP="00710C18">
      <w:pPr>
        <w:spacing w:after="0" w:line="240" w:lineRule="auto"/>
        <w:jc w:val="both"/>
        <w:rPr>
          <w:rFonts w:cs="Arial"/>
        </w:rPr>
      </w:pPr>
    </w:p>
    <w:p w:rsidR="007741BE" w:rsidRPr="00EB0D3B" w:rsidRDefault="00664A31" w:rsidP="00710C18">
      <w:pPr>
        <w:spacing w:after="0" w:line="240" w:lineRule="auto"/>
        <w:jc w:val="both"/>
        <w:rPr>
          <w:rFonts w:cs="Arial"/>
          <w:b/>
        </w:rPr>
      </w:pPr>
      <w:r>
        <w:rPr>
          <w:rFonts w:cs="Arial"/>
          <w:b/>
        </w:rPr>
        <w:t>8</w:t>
      </w:r>
      <w:r w:rsidR="00AB771F" w:rsidRPr="00A77E67">
        <w:rPr>
          <w:rFonts w:cs="Arial"/>
          <w:b/>
        </w:rPr>
        <w:t>.0</w:t>
      </w:r>
      <w:r w:rsidR="00AB771F" w:rsidRPr="00A77E67">
        <w:rPr>
          <w:rFonts w:cs="Arial"/>
          <w:b/>
        </w:rPr>
        <w:tab/>
      </w:r>
      <w:r w:rsidR="00C64842" w:rsidRPr="00A77E67">
        <w:rPr>
          <w:rFonts w:cs="Arial"/>
          <w:b/>
        </w:rPr>
        <w:t>Monitoring, review and evaluation</w:t>
      </w:r>
    </w:p>
    <w:p w:rsidR="00FC4C42" w:rsidRDefault="00752FF9" w:rsidP="00710C18">
      <w:pPr>
        <w:pStyle w:val="ListParagraph"/>
        <w:numPr>
          <w:ilvl w:val="0"/>
          <w:numId w:val="37"/>
        </w:numPr>
        <w:spacing w:after="0" w:line="240" w:lineRule="auto"/>
        <w:ind w:left="1134" w:hanging="425"/>
        <w:jc w:val="both"/>
        <w:rPr>
          <w:rFonts w:cs="Arial"/>
        </w:rPr>
      </w:pPr>
      <w:r w:rsidRPr="00752FF9">
        <w:rPr>
          <w:rFonts w:cs="Arial"/>
        </w:rPr>
        <w:t xml:space="preserve">The Director of </w:t>
      </w:r>
      <w:r w:rsidR="00CB7BA0">
        <w:rPr>
          <w:rFonts w:cs="Arial"/>
        </w:rPr>
        <w:t>Communities</w:t>
      </w:r>
      <w:r w:rsidRPr="00752FF9">
        <w:rPr>
          <w:rFonts w:cs="Arial"/>
        </w:rPr>
        <w:t xml:space="preserve"> will</w:t>
      </w:r>
      <w:r w:rsidR="00FC4C42" w:rsidRPr="00752FF9">
        <w:rPr>
          <w:rFonts w:cs="Arial"/>
        </w:rPr>
        <w:t xml:space="preserve"> </w:t>
      </w:r>
      <w:r>
        <w:rPr>
          <w:rFonts w:cs="Arial"/>
        </w:rPr>
        <w:t xml:space="preserve">routinely </w:t>
      </w:r>
      <w:r w:rsidR="00946D7C" w:rsidRPr="00752FF9">
        <w:rPr>
          <w:rFonts w:cs="Arial"/>
        </w:rPr>
        <w:t>monitor</w:t>
      </w:r>
      <w:r w:rsidR="00E34F19" w:rsidRPr="00752FF9">
        <w:rPr>
          <w:rFonts w:cs="Arial"/>
        </w:rPr>
        <w:t xml:space="preserve"> performance </w:t>
      </w:r>
      <w:r w:rsidR="00826D78" w:rsidRPr="00752FF9">
        <w:rPr>
          <w:rFonts w:cs="Arial"/>
        </w:rPr>
        <w:t>relating to</w:t>
      </w:r>
      <w:r w:rsidR="00E34F19" w:rsidRPr="00752FF9">
        <w:rPr>
          <w:rFonts w:cs="Arial"/>
        </w:rPr>
        <w:t xml:space="preserve"> </w:t>
      </w:r>
      <w:r w:rsidR="00FC4C42" w:rsidRPr="00752FF9">
        <w:rPr>
          <w:rFonts w:cs="Arial"/>
        </w:rPr>
        <w:t>this policy</w:t>
      </w:r>
    </w:p>
    <w:p w:rsidR="000420C9" w:rsidRDefault="000420C9" w:rsidP="00710C18">
      <w:pPr>
        <w:pStyle w:val="ListParagraph"/>
        <w:numPr>
          <w:ilvl w:val="0"/>
          <w:numId w:val="37"/>
        </w:numPr>
        <w:spacing w:after="0" w:line="240" w:lineRule="auto"/>
        <w:ind w:left="1134" w:hanging="425"/>
        <w:jc w:val="both"/>
        <w:rPr>
          <w:rFonts w:cs="Arial"/>
        </w:rPr>
      </w:pPr>
      <w:r>
        <w:rPr>
          <w:rFonts w:cs="Arial"/>
        </w:rPr>
        <w:t xml:space="preserve">Quarterly reports will be provided to </w:t>
      </w:r>
      <w:r w:rsidR="00C007D2">
        <w:rPr>
          <w:rFonts w:cs="Arial"/>
        </w:rPr>
        <w:t>Board</w:t>
      </w:r>
      <w:r>
        <w:rPr>
          <w:rFonts w:cs="Arial"/>
        </w:rPr>
        <w:t xml:space="preserve"> </w:t>
      </w:r>
      <w:r w:rsidR="00882CDF">
        <w:rPr>
          <w:rFonts w:cs="Arial"/>
        </w:rPr>
        <w:t>on progress against this policy</w:t>
      </w:r>
    </w:p>
    <w:p w:rsidR="00752FF9" w:rsidRDefault="00752FF9" w:rsidP="00710C18">
      <w:pPr>
        <w:pStyle w:val="ListParagraph"/>
        <w:numPr>
          <w:ilvl w:val="0"/>
          <w:numId w:val="37"/>
        </w:numPr>
        <w:spacing w:after="0" w:line="240" w:lineRule="auto"/>
        <w:ind w:left="1134" w:hanging="425"/>
        <w:jc w:val="both"/>
        <w:rPr>
          <w:rFonts w:cs="Arial"/>
        </w:rPr>
      </w:pPr>
      <w:r>
        <w:rPr>
          <w:rFonts w:cs="Arial"/>
        </w:rPr>
        <w:t xml:space="preserve">Key Performance Information will be provided to </w:t>
      </w:r>
      <w:r w:rsidR="000420C9">
        <w:rPr>
          <w:rFonts w:cs="Arial"/>
        </w:rPr>
        <w:t>the Executive Management Team</w:t>
      </w:r>
      <w:r>
        <w:rPr>
          <w:rFonts w:cs="Arial"/>
        </w:rPr>
        <w:t xml:space="preserve"> on a </w:t>
      </w:r>
      <w:r w:rsidR="000420C9">
        <w:rPr>
          <w:rFonts w:cs="Arial"/>
        </w:rPr>
        <w:t>monthly</w:t>
      </w:r>
      <w:r>
        <w:rPr>
          <w:rFonts w:cs="Arial"/>
        </w:rPr>
        <w:t xml:space="preserve"> basis</w:t>
      </w:r>
      <w:r w:rsidR="000420C9">
        <w:rPr>
          <w:rFonts w:cs="Arial"/>
        </w:rPr>
        <w:t xml:space="preserve"> as part of the Performance Management Framework, reporting progress towards targets and trends</w:t>
      </w:r>
    </w:p>
    <w:p w:rsidR="00752FF9" w:rsidRDefault="00752FF9" w:rsidP="00710C18">
      <w:pPr>
        <w:pStyle w:val="ListParagraph"/>
        <w:numPr>
          <w:ilvl w:val="0"/>
          <w:numId w:val="37"/>
        </w:numPr>
        <w:spacing w:after="0" w:line="240" w:lineRule="auto"/>
        <w:ind w:left="1134" w:hanging="425"/>
        <w:jc w:val="both"/>
        <w:rPr>
          <w:rFonts w:cs="Arial"/>
        </w:rPr>
      </w:pPr>
      <w:r>
        <w:rPr>
          <w:rFonts w:cs="Arial"/>
        </w:rPr>
        <w:t>This policy will normally be reviewed every 3 years</w:t>
      </w:r>
      <w:r w:rsidR="00882CDF">
        <w:rPr>
          <w:rFonts w:cs="Arial"/>
        </w:rPr>
        <w:t xml:space="preserve"> or earlier if changes are required</w:t>
      </w:r>
    </w:p>
    <w:p w:rsidR="00664A31" w:rsidRDefault="00752FF9" w:rsidP="00E80917">
      <w:pPr>
        <w:pStyle w:val="ListParagraph"/>
        <w:numPr>
          <w:ilvl w:val="0"/>
          <w:numId w:val="37"/>
        </w:numPr>
        <w:spacing w:after="0" w:line="240" w:lineRule="auto"/>
        <w:ind w:left="1134" w:hanging="425"/>
        <w:jc w:val="both"/>
        <w:rPr>
          <w:rFonts w:cs="Arial"/>
        </w:rPr>
      </w:pPr>
      <w:r>
        <w:rPr>
          <w:rFonts w:cs="Arial"/>
        </w:rPr>
        <w:t xml:space="preserve">An earlier review will be carried out if there are firm proposals </w:t>
      </w:r>
      <w:r w:rsidR="00F105F7">
        <w:rPr>
          <w:rFonts w:cs="Arial"/>
        </w:rPr>
        <w:t xml:space="preserve">by the </w:t>
      </w:r>
      <w:r w:rsidR="00C1465D">
        <w:rPr>
          <w:rFonts w:cs="Arial"/>
        </w:rPr>
        <w:t>G</w:t>
      </w:r>
      <w:r w:rsidR="00F105F7">
        <w:rPr>
          <w:rFonts w:cs="Arial"/>
        </w:rPr>
        <w:t xml:space="preserve">overnment </w:t>
      </w:r>
      <w:r>
        <w:rPr>
          <w:rFonts w:cs="Arial"/>
        </w:rPr>
        <w:t xml:space="preserve">to </w:t>
      </w:r>
      <w:r w:rsidR="00F105F7">
        <w:rPr>
          <w:rFonts w:cs="Arial"/>
        </w:rPr>
        <w:t xml:space="preserve">make </w:t>
      </w:r>
      <w:r>
        <w:rPr>
          <w:rFonts w:cs="Arial"/>
        </w:rPr>
        <w:t xml:space="preserve">changes to the welfare benefit system or legal recovery </w:t>
      </w:r>
      <w:r w:rsidR="00EB0A33">
        <w:rPr>
          <w:rFonts w:cs="Arial"/>
        </w:rPr>
        <w:t>techniques</w:t>
      </w:r>
      <w:r>
        <w:rPr>
          <w:rFonts w:cs="Arial"/>
        </w:rPr>
        <w:t xml:space="preserve"> that would have a significant </w:t>
      </w:r>
      <w:r w:rsidR="00F105F7">
        <w:rPr>
          <w:rFonts w:cs="Arial"/>
        </w:rPr>
        <w:t xml:space="preserve">and detrimental </w:t>
      </w:r>
      <w:r>
        <w:rPr>
          <w:rFonts w:cs="Arial"/>
        </w:rPr>
        <w:t xml:space="preserve">impact on our ability </w:t>
      </w:r>
      <w:r w:rsidR="00EB0A33">
        <w:rPr>
          <w:rFonts w:cs="Arial"/>
        </w:rPr>
        <w:t>to collect rent.</w:t>
      </w:r>
    </w:p>
    <w:p w:rsidR="00E80917" w:rsidRDefault="00E80917" w:rsidP="00E80917">
      <w:pPr>
        <w:spacing w:after="0" w:line="240" w:lineRule="auto"/>
        <w:jc w:val="both"/>
        <w:rPr>
          <w:rFonts w:cs="Arial"/>
        </w:rPr>
      </w:pPr>
    </w:p>
    <w:p w:rsidR="004E2222" w:rsidRPr="00494D21" w:rsidRDefault="00E80917" w:rsidP="00494D21">
      <w:pPr>
        <w:spacing w:after="0" w:line="240" w:lineRule="auto"/>
        <w:jc w:val="both"/>
        <w:rPr>
          <w:rFonts w:cs="Arial"/>
          <w:b/>
        </w:rPr>
      </w:pPr>
      <w:r>
        <w:rPr>
          <w:b/>
          <w:bCs/>
        </w:rPr>
        <w:t xml:space="preserve">9.0 </w:t>
      </w:r>
      <w:r>
        <w:rPr>
          <w:b/>
          <w:bCs/>
        </w:rPr>
        <w:tab/>
      </w:r>
      <w:r w:rsidRPr="00494D21">
        <w:rPr>
          <w:rFonts w:cs="Arial"/>
          <w:b/>
        </w:rPr>
        <w:t xml:space="preserve">Legislation </w:t>
      </w:r>
    </w:p>
    <w:p w:rsidR="00E80917" w:rsidRDefault="00E80917" w:rsidP="00494D21">
      <w:pPr>
        <w:spacing w:after="0" w:line="240" w:lineRule="auto"/>
        <w:ind w:left="720"/>
        <w:jc w:val="both"/>
        <w:rPr>
          <w:rFonts w:cs="Arial"/>
        </w:rPr>
      </w:pPr>
      <w:r w:rsidRPr="00494D21">
        <w:rPr>
          <w:rFonts w:cs="Arial"/>
        </w:rPr>
        <w:t>This policy has been written in accordance with relevant guidance and legislation, which includes:</w:t>
      </w:r>
    </w:p>
    <w:p w:rsidR="004E2222" w:rsidRDefault="004E2222" w:rsidP="00494D21">
      <w:pPr>
        <w:spacing w:after="0" w:line="240" w:lineRule="auto"/>
        <w:ind w:left="720"/>
        <w:jc w:val="both"/>
        <w:rPr>
          <w:rFonts w:cs="Arial"/>
        </w:rPr>
      </w:pPr>
    </w:p>
    <w:p w:rsidR="00E80917" w:rsidRPr="00494D21" w:rsidRDefault="00E80917" w:rsidP="00494D21">
      <w:pPr>
        <w:pStyle w:val="ListParagraph"/>
        <w:numPr>
          <w:ilvl w:val="0"/>
          <w:numId w:val="45"/>
        </w:numPr>
        <w:spacing w:after="0" w:line="240" w:lineRule="auto"/>
        <w:jc w:val="both"/>
        <w:rPr>
          <w:rFonts w:cs="Arial"/>
        </w:rPr>
      </w:pPr>
      <w:r w:rsidRPr="00494D21">
        <w:rPr>
          <w:rFonts w:cs="Arial"/>
        </w:rPr>
        <w:t>Housing Act 1985</w:t>
      </w:r>
    </w:p>
    <w:p w:rsidR="00E80917" w:rsidRPr="00494D21" w:rsidRDefault="00E80917" w:rsidP="00494D21">
      <w:pPr>
        <w:pStyle w:val="ListParagraph"/>
        <w:numPr>
          <w:ilvl w:val="0"/>
          <w:numId w:val="45"/>
        </w:numPr>
        <w:spacing w:after="0" w:line="240" w:lineRule="auto"/>
        <w:jc w:val="both"/>
        <w:rPr>
          <w:rFonts w:cs="Arial"/>
        </w:rPr>
      </w:pPr>
      <w:r w:rsidRPr="00494D21">
        <w:rPr>
          <w:rFonts w:cs="Arial"/>
        </w:rPr>
        <w:t>Housing Act 1996</w:t>
      </w:r>
    </w:p>
    <w:p w:rsidR="00E80917" w:rsidRPr="00494D21" w:rsidRDefault="00E80917" w:rsidP="00494D21">
      <w:pPr>
        <w:pStyle w:val="ListParagraph"/>
        <w:numPr>
          <w:ilvl w:val="0"/>
          <w:numId w:val="45"/>
        </w:numPr>
        <w:spacing w:after="0" w:line="240" w:lineRule="auto"/>
        <w:jc w:val="both"/>
        <w:rPr>
          <w:rFonts w:cs="Arial"/>
        </w:rPr>
      </w:pPr>
      <w:r w:rsidRPr="00494D21">
        <w:rPr>
          <w:rFonts w:cs="Arial"/>
        </w:rPr>
        <w:t>Welfare Reform Act 2012</w:t>
      </w:r>
    </w:p>
    <w:p w:rsidR="00E80917" w:rsidRPr="00970066" w:rsidRDefault="00E80917" w:rsidP="00494D21">
      <w:pPr>
        <w:pStyle w:val="ListParagraph"/>
        <w:numPr>
          <w:ilvl w:val="0"/>
          <w:numId w:val="45"/>
        </w:numPr>
        <w:spacing w:after="0" w:line="240" w:lineRule="auto"/>
        <w:jc w:val="both"/>
        <w:rPr>
          <w:rFonts w:cs="Arial"/>
          <w:b/>
        </w:rPr>
      </w:pPr>
      <w:r w:rsidRPr="00494D21">
        <w:rPr>
          <w:rFonts w:cs="Arial"/>
        </w:rPr>
        <w:t>General Data Protection Regulations</w:t>
      </w:r>
      <w:r w:rsidR="00970066">
        <w:rPr>
          <w:rFonts w:cs="Arial"/>
        </w:rPr>
        <w:t xml:space="preserve"> 2016</w:t>
      </w:r>
    </w:p>
    <w:p w:rsidR="00970066" w:rsidRPr="00970066" w:rsidRDefault="00970066" w:rsidP="00494D21">
      <w:pPr>
        <w:pStyle w:val="ListParagraph"/>
        <w:numPr>
          <w:ilvl w:val="0"/>
          <w:numId w:val="45"/>
        </w:numPr>
        <w:spacing w:after="0" w:line="240" w:lineRule="auto"/>
        <w:jc w:val="both"/>
        <w:rPr>
          <w:rFonts w:cs="Arial"/>
          <w:b/>
        </w:rPr>
      </w:pPr>
      <w:r>
        <w:rPr>
          <w:rFonts w:cs="Arial"/>
        </w:rPr>
        <w:t>Equality Act 2010</w:t>
      </w:r>
    </w:p>
    <w:p w:rsidR="00970066" w:rsidRPr="00A97EE2" w:rsidRDefault="00970066" w:rsidP="00494D21">
      <w:pPr>
        <w:pStyle w:val="ListParagraph"/>
        <w:numPr>
          <w:ilvl w:val="0"/>
          <w:numId w:val="45"/>
        </w:numPr>
        <w:spacing w:after="0" w:line="240" w:lineRule="auto"/>
        <w:jc w:val="both"/>
        <w:rPr>
          <w:rFonts w:cs="Arial"/>
          <w:b/>
        </w:rPr>
      </w:pPr>
      <w:r>
        <w:rPr>
          <w:rFonts w:cs="Arial"/>
        </w:rPr>
        <w:t>Landlord and Tenant Act 1985</w:t>
      </w:r>
    </w:p>
    <w:p w:rsidR="00A97EE2" w:rsidRPr="00A97EE2" w:rsidRDefault="00A97EE2" w:rsidP="00494D21">
      <w:pPr>
        <w:pStyle w:val="ListParagraph"/>
        <w:numPr>
          <w:ilvl w:val="0"/>
          <w:numId w:val="45"/>
        </w:numPr>
        <w:spacing w:after="0" w:line="240" w:lineRule="auto"/>
        <w:jc w:val="both"/>
        <w:rPr>
          <w:rFonts w:cs="Arial"/>
          <w:b/>
        </w:rPr>
      </w:pPr>
      <w:r>
        <w:rPr>
          <w:rFonts w:cs="Arial"/>
        </w:rPr>
        <w:t>Tenant Involvement and Empowerment Standard</w:t>
      </w:r>
    </w:p>
    <w:p w:rsidR="00A97EE2" w:rsidRPr="00970066" w:rsidRDefault="00A97EE2" w:rsidP="00494D21">
      <w:pPr>
        <w:pStyle w:val="ListParagraph"/>
        <w:numPr>
          <w:ilvl w:val="0"/>
          <w:numId w:val="45"/>
        </w:numPr>
        <w:spacing w:after="0" w:line="240" w:lineRule="auto"/>
        <w:jc w:val="both"/>
        <w:rPr>
          <w:rFonts w:cs="Arial"/>
          <w:b/>
        </w:rPr>
      </w:pPr>
      <w:r>
        <w:rPr>
          <w:rFonts w:cs="Arial"/>
        </w:rPr>
        <w:t>Tenancy Standard</w:t>
      </w:r>
    </w:p>
    <w:p w:rsidR="00970066" w:rsidRPr="001C3F13" w:rsidRDefault="00970066" w:rsidP="00970066">
      <w:pPr>
        <w:pStyle w:val="ListParagraph"/>
        <w:spacing w:after="0" w:line="240" w:lineRule="auto"/>
        <w:ind w:left="1080"/>
        <w:jc w:val="both"/>
        <w:rPr>
          <w:rFonts w:cs="Arial"/>
          <w:b/>
        </w:rPr>
      </w:pPr>
    </w:p>
    <w:p w:rsidR="001C3F13" w:rsidRPr="00494D21" w:rsidRDefault="001C3F13" w:rsidP="001C3F13">
      <w:pPr>
        <w:pStyle w:val="ListParagraph"/>
        <w:spacing w:after="0" w:line="240" w:lineRule="auto"/>
        <w:ind w:left="1440"/>
        <w:jc w:val="both"/>
        <w:rPr>
          <w:rFonts w:cs="Arial"/>
          <w:b/>
        </w:rPr>
      </w:pPr>
    </w:p>
    <w:p w:rsidR="004E2222" w:rsidRPr="00494D21" w:rsidRDefault="00E80917" w:rsidP="00494D21">
      <w:pPr>
        <w:spacing w:after="0" w:line="240" w:lineRule="auto"/>
        <w:jc w:val="both"/>
        <w:rPr>
          <w:rFonts w:cs="Arial"/>
        </w:rPr>
      </w:pPr>
      <w:r w:rsidRPr="00494D21">
        <w:rPr>
          <w:b/>
          <w:bCs/>
        </w:rPr>
        <w:t xml:space="preserve">10.0 </w:t>
      </w:r>
      <w:r w:rsidRPr="00494D21">
        <w:rPr>
          <w:b/>
          <w:bCs/>
        </w:rPr>
        <w:tab/>
      </w:r>
      <w:r w:rsidR="00DA5C52">
        <w:rPr>
          <w:rFonts w:cs="Arial"/>
          <w:b/>
        </w:rPr>
        <w:t>Associated Policies</w:t>
      </w:r>
    </w:p>
    <w:p w:rsidR="00E80917" w:rsidRPr="00494D21" w:rsidRDefault="00E80917" w:rsidP="00494D21">
      <w:pPr>
        <w:pStyle w:val="ListParagraph"/>
        <w:numPr>
          <w:ilvl w:val="0"/>
          <w:numId w:val="45"/>
        </w:numPr>
        <w:spacing w:after="0" w:line="240" w:lineRule="auto"/>
        <w:jc w:val="both"/>
        <w:rPr>
          <w:rFonts w:cs="Arial"/>
        </w:rPr>
      </w:pPr>
      <w:r w:rsidRPr="00494D21">
        <w:rPr>
          <w:rFonts w:cs="Arial"/>
        </w:rPr>
        <w:t>Equality, Diversity and Inclusion Policy</w:t>
      </w:r>
    </w:p>
    <w:p w:rsidR="00E80917" w:rsidRPr="00494D21" w:rsidRDefault="00E80917" w:rsidP="00494D21">
      <w:pPr>
        <w:pStyle w:val="ListParagraph"/>
        <w:numPr>
          <w:ilvl w:val="0"/>
          <w:numId w:val="45"/>
        </w:numPr>
        <w:spacing w:after="0" w:line="240" w:lineRule="auto"/>
        <w:jc w:val="both"/>
        <w:rPr>
          <w:rFonts w:cs="Arial"/>
        </w:rPr>
      </w:pPr>
      <w:r w:rsidRPr="00494D21">
        <w:rPr>
          <w:rFonts w:cs="Arial"/>
        </w:rPr>
        <w:t>Bad Debt and Write Off Policy</w:t>
      </w:r>
    </w:p>
    <w:p w:rsidR="00E80917" w:rsidRDefault="00E80917" w:rsidP="00494D21">
      <w:pPr>
        <w:pStyle w:val="ListParagraph"/>
        <w:numPr>
          <w:ilvl w:val="0"/>
          <w:numId w:val="45"/>
        </w:numPr>
        <w:spacing w:after="0" w:line="240" w:lineRule="auto"/>
        <w:jc w:val="both"/>
        <w:rPr>
          <w:rFonts w:cs="Arial"/>
        </w:rPr>
      </w:pPr>
      <w:r w:rsidRPr="00494D21">
        <w:rPr>
          <w:rFonts w:cs="Arial"/>
        </w:rPr>
        <w:t>Recharge Policy</w:t>
      </w:r>
    </w:p>
    <w:p w:rsidR="00970066" w:rsidRPr="00494D21" w:rsidRDefault="00970066" w:rsidP="00494D21">
      <w:pPr>
        <w:pStyle w:val="ListParagraph"/>
        <w:numPr>
          <w:ilvl w:val="0"/>
          <w:numId w:val="45"/>
        </w:numPr>
        <w:spacing w:after="0" w:line="240" w:lineRule="auto"/>
        <w:jc w:val="both"/>
        <w:rPr>
          <w:rFonts w:cs="Arial"/>
        </w:rPr>
      </w:pPr>
      <w:r>
        <w:rPr>
          <w:rFonts w:cs="Arial"/>
        </w:rPr>
        <w:t>Adults at Risk of Harm Policy</w:t>
      </w:r>
    </w:p>
    <w:p w:rsidR="00E80917" w:rsidRPr="00E80917" w:rsidRDefault="00E80917" w:rsidP="00E80917">
      <w:pPr>
        <w:spacing w:after="0" w:line="240" w:lineRule="auto"/>
        <w:jc w:val="both"/>
        <w:rPr>
          <w:rFonts w:cs="Arial"/>
        </w:rPr>
      </w:pPr>
    </w:p>
    <w:p w:rsidR="00E34F19" w:rsidRPr="00A77E67" w:rsidRDefault="00BB24FF" w:rsidP="00710C18">
      <w:pPr>
        <w:spacing w:after="0" w:line="240" w:lineRule="auto"/>
        <w:jc w:val="both"/>
        <w:rPr>
          <w:rFonts w:cs="Arial"/>
        </w:rPr>
      </w:pPr>
      <w:r w:rsidRPr="00A77E67">
        <w:rPr>
          <w:rFonts w:cs="Arial"/>
        </w:rPr>
        <w:t xml:space="preserve"> </w:t>
      </w:r>
    </w:p>
    <w:sectPr w:rsidR="00E34F19" w:rsidRPr="00A77E67" w:rsidSect="00BB24FF">
      <w:headerReference w:type="default" r:id="rId9"/>
      <w:footerReference w:type="default" r:id="rId10"/>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615" w:rsidRDefault="00091615" w:rsidP="001E7AD1">
      <w:pPr>
        <w:spacing w:after="0" w:line="240" w:lineRule="auto"/>
      </w:pPr>
      <w:r>
        <w:separator/>
      </w:r>
    </w:p>
  </w:endnote>
  <w:endnote w:type="continuationSeparator" w:id="0">
    <w:p w:rsidR="00091615" w:rsidRDefault="00091615"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CB7BA0" w:rsidRDefault="00CB7BA0" w:rsidP="00526FB8">
        <w:pPr>
          <w:pStyle w:val="Footer"/>
          <w:rPr>
            <w:sz w:val="20"/>
            <w:szCs w:val="20"/>
          </w:rPr>
        </w:pPr>
        <w:r>
          <w:rPr>
            <w:sz w:val="20"/>
            <w:szCs w:val="20"/>
          </w:rPr>
          <w:t>Version</w:t>
        </w:r>
        <w:r w:rsidR="00F25158">
          <w:rPr>
            <w:sz w:val="20"/>
            <w:szCs w:val="20"/>
          </w:rPr>
          <w:t xml:space="preserve"> 2</w:t>
        </w:r>
        <w:r>
          <w:rPr>
            <w:sz w:val="20"/>
            <w:szCs w:val="20"/>
          </w:rPr>
          <w:t xml:space="preserve">: </w:t>
        </w:r>
        <w:r w:rsidR="00DD6F1B">
          <w:rPr>
            <w:sz w:val="20"/>
            <w:szCs w:val="20"/>
          </w:rPr>
          <w:t>June</w:t>
        </w:r>
        <w:r>
          <w:rPr>
            <w:sz w:val="20"/>
            <w:szCs w:val="20"/>
          </w:rPr>
          <w:t xml:space="preserve"> 201</w:t>
        </w:r>
        <w:r w:rsidR="00DD6F1B">
          <w:rPr>
            <w:sz w:val="20"/>
            <w:szCs w:val="20"/>
          </w:rPr>
          <w:t>8</w:t>
        </w:r>
        <w:r>
          <w:rPr>
            <w:sz w:val="20"/>
            <w:szCs w:val="20"/>
          </w:rPr>
          <w:tab/>
        </w:r>
        <w:r w:rsidRPr="00622AC1">
          <w:rPr>
            <w:sz w:val="20"/>
            <w:szCs w:val="20"/>
          </w:rPr>
          <w:t>Approve</w:t>
        </w:r>
        <w:r>
          <w:rPr>
            <w:sz w:val="20"/>
            <w:szCs w:val="20"/>
          </w:rPr>
          <w:t xml:space="preserve">d by: </w:t>
        </w:r>
        <w:r w:rsidR="00BF5903">
          <w:rPr>
            <w:sz w:val="20"/>
            <w:szCs w:val="20"/>
          </w:rPr>
          <w:t>Operations Committee</w:t>
        </w:r>
        <w:r w:rsidR="00FF0485">
          <w:rPr>
            <w:sz w:val="20"/>
            <w:szCs w:val="20"/>
          </w:rPr>
          <w:t xml:space="preserve"> 8/8/18</w:t>
        </w:r>
        <w:r>
          <w:rPr>
            <w:sz w:val="20"/>
            <w:szCs w:val="20"/>
          </w:rPr>
          <w:tab/>
          <w:t>Department: Income Recovery</w:t>
        </w:r>
      </w:p>
      <w:p w:rsidR="00CB7BA0" w:rsidRDefault="00CB7BA0">
        <w:pPr>
          <w:pStyle w:val="Footer"/>
        </w:pPr>
        <w:r>
          <w:rPr>
            <w:sz w:val="20"/>
            <w:szCs w:val="20"/>
          </w:rPr>
          <w:t xml:space="preserve">Review: </w:t>
        </w:r>
        <w:r w:rsidR="00F25158">
          <w:rPr>
            <w:sz w:val="20"/>
            <w:szCs w:val="20"/>
          </w:rPr>
          <w:t xml:space="preserve">   </w:t>
        </w:r>
        <w:r w:rsidR="00DD6F1B">
          <w:rPr>
            <w:sz w:val="20"/>
            <w:szCs w:val="20"/>
          </w:rPr>
          <w:t xml:space="preserve"> June</w:t>
        </w:r>
        <w:r>
          <w:rPr>
            <w:sz w:val="20"/>
            <w:szCs w:val="20"/>
          </w:rPr>
          <w:t xml:space="preserve"> 20</w:t>
        </w:r>
        <w:r w:rsidR="00DD6F1B">
          <w:rPr>
            <w:sz w:val="20"/>
            <w:szCs w:val="20"/>
          </w:rPr>
          <w:t>21</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D24E3F">
          <w:rPr>
            <w:rFonts w:cs="Times New Roman"/>
            <w:bCs/>
            <w:noProof/>
            <w:sz w:val="20"/>
            <w:szCs w:val="20"/>
          </w:rPr>
          <w:t>2</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D24E3F">
          <w:rPr>
            <w:rFonts w:cs="Times New Roman"/>
            <w:bCs/>
            <w:noProof/>
            <w:sz w:val="20"/>
            <w:szCs w:val="20"/>
          </w:rPr>
          <w:t>3</w:t>
        </w:r>
        <w:r w:rsidRPr="00622AC1">
          <w:rPr>
            <w:rFonts w:cs="Times New Roman"/>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615" w:rsidRDefault="00091615" w:rsidP="001E7AD1">
      <w:pPr>
        <w:spacing w:after="0" w:line="240" w:lineRule="auto"/>
      </w:pPr>
      <w:r>
        <w:separator/>
      </w:r>
    </w:p>
  </w:footnote>
  <w:footnote w:type="continuationSeparator" w:id="0">
    <w:p w:rsidR="00091615" w:rsidRDefault="00091615"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A0" w:rsidRDefault="00CB7BA0" w:rsidP="00646F6A">
    <w:pPr>
      <w:pStyle w:val="Header"/>
    </w:pPr>
    <w:r w:rsidRPr="00EE2918">
      <w:rPr>
        <w:b/>
        <w:sz w:val="36"/>
        <w:szCs w:val="36"/>
      </w:rPr>
      <w:t>Income Recovery Policy</w:t>
    </w:r>
    <w:r w:rsidR="00646F6A">
      <w:rPr>
        <w:b/>
        <w:sz w:val="36"/>
        <w:szCs w:val="36"/>
      </w:rPr>
      <w:tab/>
    </w:r>
    <w:r>
      <w:tab/>
    </w:r>
    <w:r w:rsidR="00646F6A">
      <w:rPr>
        <w:noProof/>
        <w:lang w:eastAsia="en-GB"/>
      </w:rPr>
      <w:drawing>
        <wp:inline distT="0" distB="0" distL="0" distR="0" wp14:anchorId="4AF5E980" wp14:editId="570BA2B3">
          <wp:extent cx="1638300" cy="504825"/>
          <wp:effectExtent l="0" t="0" r="0" b="9525"/>
          <wp:docPr id="1"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3"/>
    <w:multiLevelType w:val="hybridMultilevel"/>
    <w:tmpl w:val="268E6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2579CC"/>
    <w:multiLevelType w:val="hybridMultilevel"/>
    <w:tmpl w:val="C3BE0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3D049F"/>
    <w:multiLevelType w:val="multilevel"/>
    <w:tmpl w:val="BCDA6B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A6E5357"/>
    <w:multiLevelType w:val="hybridMultilevel"/>
    <w:tmpl w:val="CDA25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74DF"/>
    <w:multiLevelType w:val="hybridMultilevel"/>
    <w:tmpl w:val="CE8C6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BE250F"/>
    <w:multiLevelType w:val="hybridMultilevel"/>
    <w:tmpl w:val="8C341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F562D2"/>
    <w:multiLevelType w:val="hybridMultilevel"/>
    <w:tmpl w:val="B2F2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ED5C03"/>
    <w:multiLevelType w:val="hybridMultilevel"/>
    <w:tmpl w:val="4464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33090"/>
    <w:multiLevelType w:val="hybridMultilevel"/>
    <w:tmpl w:val="926A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A8071E"/>
    <w:multiLevelType w:val="hybridMultilevel"/>
    <w:tmpl w:val="762A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05652D"/>
    <w:multiLevelType w:val="hybridMultilevel"/>
    <w:tmpl w:val="D0D05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B0F392C"/>
    <w:multiLevelType w:val="hybridMultilevel"/>
    <w:tmpl w:val="0106A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C7153AE"/>
    <w:multiLevelType w:val="hybridMultilevel"/>
    <w:tmpl w:val="296682A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3">
    <w:nsid w:val="1DBD013D"/>
    <w:multiLevelType w:val="hybridMultilevel"/>
    <w:tmpl w:val="9F7CF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26247B2"/>
    <w:multiLevelType w:val="hybridMultilevel"/>
    <w:tmpl w:val="63729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3703508"/>
    <w:multiLevelType w:val="hybridMultilevel"/>
    <w:tmpl w:val="3E0A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B4E84"/>
    <w:multiLevelType w:val="hybridMultilevel"/>
    <w:tmpl w:val="E3E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57CED"/>
    <w:multiLevelType w:val="hybridMultilevel"/>
    <w:tmpl w:val="AF1C5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C2258FE"/>
    <w:multiLevelType w:val="hybridMultilevel"/>
    <w:tmpl w:val="860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E535FD3"/>
    <w:multiLevelType w:val="hybridMultilevel"/>
    <w:tmpl w:val="D234A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29A7297"/>
    <w:multiLevelType w:val="hybridMultilevel"/>
    <w:tmpl w:val="D9EA8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4CC2DDD"/>
    <w:multiLevelType w:val="hybridMultilevel"/>
    <w:tmpl w:val="71D68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nsid w:val="361E53DF"/>
    <w:multiLevelType w:val="multilevel"/>
    <w:tmpl w:val="CE0659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0095670"/>
    <w:multiLevelType w:val="hybridMultilevel"/>
    <w:tmpl w:val="8410C4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906728"/>
    <w:multiLevelType w:val="hybridMultilevel"/>
    <w:tmpl w:val="4C48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31C3FEF"/>
    <w:multiLevelType w:val="hybridMultilevel"/>
    <w:tmpl w:val="10BE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512EBA"/>
    <w:multiLevelType w:val="hybridMultilevel"/>
    <w:tmpl w:val="A812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CF225FD"/>
    <w:multiLevelType w:val="hybridMultilevel"/>
    <w:tmpl w:val="3740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F5A7258"/>
    <w:multiLevelType w:val="hybridMultilevel"/>
    <w:tmpl w:val="B2D05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30648F2"/>
    <w:multiLevelType w:val="hybridMultilevel"/>
    <w:tmpl w:val="72FA3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3552AC1"/>
    <w:multiLevelType w:val="hybridMultilevel"/>
    <w:tmpl w:val="C9AEC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6A07752"/>
    <w:multiLevelType w:val="hybridMultilevel"/>
    <w:tmpl w:val="899ED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9C431D"/>
    <w:multiLevelType w:val="hybridMultilevel"/>
    <w:tmpl w:val="C8FE5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C6605EC"/>
    <w:multiLevelType w:val="hybridMultilevel"/>
    <w:tmpl w:val="CE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D92E56"/>
    <w:multiLevelType w:val="hybridMultilevel"/>
    <w:tmpl w:val="970AE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8E7023"/>
    <w:multiLevelType w:val="hybridMultilevel"/>
    <w:tmpl w:val="5ECC29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2A63E2A"/>
    <w:multiLevelType w:val="hybridMultilevel"/>
    <w:tmpl w:val="FF0647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8">
    <w:nsid w:val="696D53BA"/>
    <w:multiLevelType w:val="hybridMultilevel"/>
    <w:tmpl w:val="B4E2F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20C7AD1"/>
    <w:multiLevelType w:val="hybridMultilevel"/>
    <w:tmpl w:val="EFB0C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B0D7CB9"/>
    <w:multiLevelType w:val="hybridMultilevel"/>
    <w:tmpl w:val="0EBCC1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D032918"/>
    <w:multiLevelType w:val="multilevel"/>
    <w:tmpl w:val="60BA1D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2">
    <w:nsid w:val="7E0B3561"/>
    <w:multiLevelType w:val="hybridMultilevel"/>
    <w:tmpl w:val="09904C1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3">
    <w:nsid w:val="7F41393A"/>
    <w:multiLevelType w:val="hybridMultilevel"/>
    <w:tmpl w:val="415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4E3970"/>
    <w:multiLevelType w:val="hybridMultilevel"/>
    <w:tmpl w:val="8970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44"/>
  </w:num>
  <w:num w:numId="4">
    <w:abstractNumId w:val="28"/>
  </w:num>
  <w:num w:numId="5">
    <w:abstractNumId w:val="33"/>
  </w:num>
  <w:num w:numId="6">
    <w:abstractNumId w:val="8"/>
  </w:num>
  <w:num w:numId="7">
    <w:abstractNumId w:val="41"/>
  </w:num>
  <w:num w:numId="8">
    <w:abstractNumId w:val="18"/>
  </w:num>
  <w:num w:numId="9">
    <w:abstractNumId w:val="25"/>
  </w:num>
  <w:num w:numId="10">
    <w:abstractNumId w:val="0"/>
  </w:num>
  <w:num w:numId="11">
    <w:abstractNumId w:val="37"/>
  </w:num>
  <w:num w:numId="12">
    <w:abstractNumId w:val="21"/>
  </w:num>
  <w:num w:numId="13">
    <w:abstractNumId w:val="27"/>
  </w:num>
  <w:num w:numId="14">
    <w:abstractNumId w:val="6"/>
  </w:num>
  <w:num w:numId="15">
    <w:abstractNumId w:val="14"/>
  </w:num>
  <w:num w:numId="16">
    <w:abstractNumId w:val="29"/>
  </w:num>
  <w:num w:numId="17">
    <w:abstractNumId w:val="23"/>
  </w:num>
  <w:num w:numId="18">
    <w:abstractNumId w:val="22"/>
  </w:num>
  <w:num w:numId="19">
    <w:abstractNumId w:val="42"/>
  </w:num>
  <w:num w:numId="20">
    <w:abstractNumId w:val="10"/>
  </w:num>
  <w:num w:numId="21">
    <w:abstractNumId w:val="17"/>
  </w:num>
  <w:num w:numId="22">
    <w:abstractNumId w:val="31"/>
  </w:num>
  <w:num w:numId="23">
    <w:abstractNumId w:val="13"/>
  </w:num>
  <w:num w:numId="24">
    <w:abstractNumId w:val="40"/>
  </w:num>
  <w:num w:numId="25">
    <w:abstractNumId w:val="26"/>
  </w:num>
  <w:num w:numId="26">
    <w:abstractNumId w:val="11"/>
  </w:num>
  <w:num w:numId="27">
    <w:abstractNumId w:val="38"/>
  </w:num>
  <w:num w:numId="28">
    <w:abstractNumId w:val="12"/>
  </w:num>
  <w:num w:numId="29">
    <w:abstractNumId w:val="5"/>
  </w:num>
  <w:num w:numId="30">
    <w:abstractNumId w:val="34"/>
  </w:num>
  <w:num w:numId="31">
    <w:abstractNumId w:val="7"/>
  </w:num>
  <w:num w:numId="32">
    <w:abstractNumId w:val="43"/>
  </w:num>
  <w:num w:numId="33">
    <w:abstractNumId w:val="15"/>
  </w:num>
  <w:num w:numId="34">
    <w:abstractNumId w:val="16"/>
  </w:num>
  <w:num w:numId="35">
    <w:abstractNumId w:val="3"/>
  </w:num>
  <w:num w:numId="36">
    <w:abstractNumId w:val="30"/>
  </w:num>
  <w:num w:numId="37">
    <w:abstractNumId w:val="36"/>
  </w:num>
  <w:num w:numId="38">
    <w:abstractNumId w:val="1"/>
  </w:num>
  <w:num w:numId="39">
    <w:abstractNumId w:val="35"/>
  </w:num>
  <w:num w:numId="40">
    <w:abstractNumId w:val="20"/>
  </w:num>
  <w:num w:numId="41">
    <w:abstractNumId w:val="19"/>
  </w:num>
  <w:num w:numId="42">
    <w:abstractNumId w:val="32"/>
  </w:num>
  <w:num w:numId="43">
    <w:abstractNumId w:val="39"/>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376A0"/>
    <w:rsid w:val="00040596"/>
    <w:rsid w:val="000420C9"/>
    <w:rsid w:val="000626D8"/>
    <w:rsid w:val="00065236"/>
    <w:rsid w:val="00070B69"/>
    <w:rsid w:val="00072F41"/>
    <w:rsid w:val="00075268"/>
    <w:rsid w:val="00082851"/>
    <w:rsid w:val="00091615"/>
    <w:rsid w:val="00093E90"/>
    <w:rsid w:val="0009775D"/>
    <w:rsid w:val="000E1494"/>
    <w:rsid w:val="001012EE"/>
    <w:rsid w:val="00114E70"/>
    <w:rsid w:val="001162F0"/>
    <w:rsid w:val="0012446C"/>
    <w:rsid w:val="0012514A"/>
    <w:rsid w:val="00127765"/>
    <w:rsid w:val="001316EB"/>
    <w:rsid w:val="0015023E"/>
    <w:rsid w:val="00154FF1"/>
    <w:rsid w:val="001563AA"/>
    <w:rsid w:val="0016628E"/>
    <w:rsid w:val="00191CE4"/>
    <w:rsid w:val="001A0749"/>
    <w:rsid w:val="001B5F93"/>
    <w:rsid w:val="001C0ACF"/>
    <w:rsid w:val="001C1B27"/>
    <w:rsid w:val="001C2078"/>
    <w:rsid w:val="001C3F13"/>
    <w:rsid w:val="001C7140"/>
    <w:rsid w:val="001C7296"/>
    <w:rsid w:val="001E1005"/>
    <w:rsid w:val="001E30AE"/>
    <w:rsid w:val="001E7AD1"/>
    <w:rsid w:val="0023762A"/>
    <w:rsid w:val="00272E81"/>
    <w:rsid w:val="002B6A43"/>
    <w:rsid w:val="002C136B"/>
    <w:rsid w:val="002D1D87"/>
    <w:rsid w:val="002D389F"/>
    <w:rsid w:val="002E0CEF"/>
    <w:rsid w:val="002E1CDD"/>
    <w:rsid w:val="0031333B"/>
    <w:rsid w:val="00314C73"/>
    <w:rsid w:val="00322644"/>
    <w:rsid w:val="003459E0"/>
    <w:rsid w:val="00350E12"/>
    <w:rsid w:val="003555AB"/>
    <w:rsid w:val="003625E8"/>
    <w:rsid w:val="00375488"/>
    <w:rsid w:val="00375773"/>
    <w:rsid w:val="00375C23"/>
    <w:rsid w:val="00386B1B"/>
    <w:rsid w:val="00396B65"/>
    <w:rsid w:val="003B51CF"/>
    <w:rsid w:val="003C6427"/>
    <w:rsid w:val="003E5668"/>
    <w:rsid w:val="003F1A1B"/>
    <w:rsid w:val="003F2672"/>
    <w:rsid w:val="003F72A3"/>
    <w:rsid w:val="00406B62"/>
    <w:rsid w:val="00407B18"/>
    <w:rsid w:val="00411066"/>
    <w:rsid w:val="0041524C"/>
    <w:rsid w:val="004165E3"/>
    <w:rsid w:val="00424B57"/>
    <w:rsid w:val="0044019B"/>
    <w:rsid w:val="0045169B"/>
    <w:rsid w:val="00456D55"/>
    <w:rsid w:val="004572C0"/>
    <w:rsid w:val="0047237A"/>
    <w:rsid w:val="00474A1E"/>
    <w:rsid w:val="00481126"/>
    <w:rsid w:val="00483606"/>
    <w:rsid w:val="00494D21"/>
    <w:rsid w:val="00495267"/>
    <w:rsid w:val="004972F1"/>
    <w:rsid w:val="004A1518"/>
    <w:rsid w:val="004A5AB4"/>
    <w:rsid w:val="004B22C7"/>
    <w:rsid w:val="004B485F"/>
    <w:rsid w:val="004C40DC"/>
    <w:rsid w:val="004D50CA"/>
    <w:rsid w:val="004D77AF"/>
    <w:rsid w:val="004E2222"/>
    <w:rsid w:val="004F6ABC"/>
    <w:rsid w:val="004F7174"/>
    <w:rsid w:val="00503C4E"/>
    <w:rsid w:val="0051197D"/>
    <w:rsid w:val="00526FB8"/>
    <w:rsid w:val="00532AE9"/>
    <w:rsid w:val="005368AE"/>
    <w:rsid w:val="005518AB"/>
    <w:rsid w:val="005727E4"/>
    <w:rsid w:val="0057304A"/>
    <w:rsid w:val="00596B87"/>
    <w:rsid w:val="005A1B4F"/>
    <w:rsid w:val="005A2025"/>
    <w:rsid w:val="005A6B0A"/>
    <w:rsid w:val="005C25FF"/>
    <w:rsid w:val="005D5F61"/>
    <w:rsid w:val="00611849"/>
    <w:rsid w:val="006129A7"/>
    <w:rsid w:val="00632CD6"/>
    <w:rsid w:val="00636CBF"/>
    <w:rsid w:val="00641C52"/>
    <w:rsid w:val="00646A18"/>
    <w:rsid w:val="00646F6A"/>
    <w:rsid w:val="00647111"/>
    <w:rsid w:val="0065686B"/>
    <w:rsid w:val="00660D7A"/>
    <w:rsid w:val="006642DD"/>
    <w:rsid w:val="00664414"/>
    <w:rsid w:val="00664A31"/>
    <w:rsid w:val="006720A0"/>
    <w:rsid w:val="006742F1"/>
    <w:rsid w:val="00683F40"/>
    <w:rsid w:val="006B0944"/>
    <w:rsid w:val="006B4261"/>
    <w:rsid w:val="006B6B4E"/>
    <w:rsid w:val="006E0BE6"/>
    <w:rsid w:val="006E36EB"/>
    <w:rsid w:val="006F7235"/>
    <w:rsid w:val="00702020"/>
    <w:rsid w:val="00710C18"/>
    <w:rsid w:val="00711624"/>
    <w:rsid w:val="00752FF9"/>
    <w:rsid w:val="00771BD9"/>
    <w:rsid w:val="007741BE"/>
    <w:rsid w:val="00795CD9"/>
    <w:rsid w:val="007B47F8"/>
    <w:rsid w:val="007E4034"/>
    <w:rsid w:val="007E60B5"/>
    <w:rsid w:val="007E7239"/>
    <w:rsid w:val="007F4A25"/>
    <w:rsid w:val="007F4F40"/>
    <w:rsid w:val="007F4FD5"/>
    <w:rsid w:val="007F6E16"/>
    <w:rsid w:val="0080357D"/>
    <w:rsid w:val="0080413A"/>
    <w:rsid w:val="00812F1F"/>
    <w:rsid w:val="00815B82"/>
    <w:rsid w:val="00816FD2"/>
    <w:rsid w:val="00825861"/>
    <w:rsid w:val="00826D78"/>
    <w:rsid w:val="00831216"/>
    <w:rsid w:val="00843967"/>
    <w:rsid w:val="0084543D"/>
    <w:rsid w:val="008724B7"/>
    <w:rsid w:val="00874C1E"/>
    <w:rsid w:val="00875CB7"/>
    <w:rsid w:val="00882CDF"/>
    <w:rsid w:val="008A66F1"/>
    <w:rsid w:val="008B2F98"/>
    <w:rsid w:val="008B3847"/>
    <w:rsid w:val="008C4362"/>
    <w:rsid w:val="008F5E4E"/>
    <w:rsid w:val="008F6028"/>
    <w:rsid w:val="00920E53"/>
    <w:rsid w:val="009257FD"/>
    <w:rsid w:val="00941307"/>
    <w:rsid w:val="00946D7C"/>
    <w:rsid w:val="00953BAC"/>
    <w:rsid w:val="00964A1B"/>
    <w:rsid w:val="00970066"/>
    <w:rsid w:val="009747E7"/>
    <w:rsid w:val="00984455"/>
    <w:rsid w:val="009917A2"/>
    <w:rsid w:val="009B3EA5"/>
    <w:rsid w:val="009C0472"/>
    <w:rsid w:val="009E5380"/>
    <w:rsid w:val="009F3BF9"/>
    <w:rsid w:val="00A07BC1"/>
    <w:rsid w:val="00A331E4"/>
    <w:rsid w:val="00A34095"/>
    <w:rsid w:val="00A4702B"/>
    <w:rsid w:val="00A5262F"/>
    <w:rsid w:val="00A603CC"/>
    <w:rsid w:val="00A76B67"/>
    <w:rsid w:val="00A77E67"/>
    <w:rsid w:val="00A835EC"/>
    <w:rsid w:val="00A9506F"/>
    <w:rsid w:val="00A97EE2"/>
    <w:rsid w:val="00AA47F0"/>
    <w:rsid w:val="00AA61DC"/>
    <w:rsid w:val="00AB771F"/>
    <w:rsid w:val="00AC16FF"/>
    <w:rsid w:val="00AC25B3"/>
    <w:rsid w:val="00AC6413"/>
    <w:rsid w:val="00AC7528"/>
    <w:rsid w:val="00AD04A5"/>
    <w:rsid w:val="00AD2A49"/>
    <w:rsid w:val="00AD6291"/>
    <w:rsid w:val="00AF3797"/>
    <w:rsid w:val="00B056CE"/>
    <w:rsid w:val="00B073BE"/>
    <w:rsid w:val="00B0794C"/>
    <w:rsid w:val="00B12E86"/>
    <w:rsid w:val="00B516B7"/>
    <w:rsid w:val="00B53ED1"/>
    <w:rsid w:val="00B6052A"/>
    <w:rsid w:val="00B73FD6"/>
    <w:rsid w:val="00B87592"/>
    <w:rsid w:val="00B95DC8"/>
    <w:rsid w:val="00BA3B0E"/>
    <w:rsid w:val="00BB24FF"/>
    <w:rsid w:val="00BB426A"/>
    <w:rsid w:val="00BC6897"/>
    <w:rsid w:val="00BC795F"/>
    <w:rsid w:val="00BC79CF"/>
    <w:rsid w:val="00BD11C0"/>
    <w:rsid w:val="00BD2A0F"/>
    <w:rsid w:val="00BD6453"/>
    <w:rsid w:val="00BF5903"/>
    <w:rsid w:val="00C007D2"/>
    <w:rsid w:val="00C1465D"/>
    <w:rsid w:val="00C30CE3"/>
    <w:rsid w:val="00C443AE"/>
    <w:rsid w:val="00C64842"/>
    <w:rsid w:val="00C73F37"/>
    <w:rsid w:val="00C871A2"/>
    <w:rsid w:val="00C909BA"/>
    <w:rsid w:val="00CA0984"/>
    <w:rsid w:val="00CB7BA0"/>
    <w:rsid w:val="00CC1BEF"/>
    <w:rsid w:val="00CC36A7"/>
    <w:rsid w:val="00CC5E0B"/>
    <w:rsid w:val="00CD56E1"/>
    <w:rsid w:val="00D001D2"/>
    <w:rsid w:val="00D01256"/>
    <w:rsid w:val="00D03923"/>
    <w:rsid w:val="00D11F28"/>
    <w:rsid w:val="00D12DF1"/>
    <w:rsid w:val="00D24E3F"/>
    <w:rsid w:val="00D340F2"/>
    <w:rsid w:val="00D42DE2"/>
    <w:rsid w:val="00D5082E"/>
    <w:rsid w:val="00D52F04"/>
    <w:rsid w:val="00D66767"/>
    <w:rsid w:val="00DA0596"/>
    <w:rsid w:val="00DA5C52"/>
    <w:rsid w:val="00DB3561"/>
    <w:rsid w:val="00DC6518"/>
    <w:rsid w:val="00DD48C2"/>
    <w:rsid w:val="00DD6F1B"/>
    <w:rsid w:val="00DE13AB"/>
    <w:rsid w:val="00DF730D"/>
    <w:rsid w:val="00E0665A"/>
    <w:rsid w:val="00E06FE8"/>
    <w:rsid w:val="00E1759A"/>
    <w:rsid w:val="00E24F59"/>
    <w:rsid w:val="00E34F19"/>
    <w:rsid w:val="00E41E64"/>
    <w:rsid w:val="00E5431F"/>
    <w:rsid w:val="00E65F1C"/>
    <w:rsid w:val="00E80917"/>
    <w:rsid w:val="00E82AB8"/>
    <w:rsid w:val="00E96402"/>
    <w:rsid w:val="00EB0A33"/>
    <w:rsid w:val="00EB0D3B"/>
    <w:rsid w:val="00EB5BCC"/>
    <w:rsid w:val="00EC184D"/>
    <w:rsid w:val="00EC539F"/>
    <w:rsid w:val="00EE2136"/>
    <w:rsid w:val="00EE2918"/>
    <w:rsid w:val="00EE29D2"/>
    <w:rsid w:val="00EF3C19"/>
    <w:rsid w:val="00EF490A"/>
    <w:rsid w:val="00F105F7"/>
    <w:rsid w:val="00F17031"/>
    <w:rsid w:val="00F25158"/>
    <w:rsid w:val="00F53A55"/>
    <w:rsid w:val="00F87176"/>
    <w:rsid w:val="00F939B4"/>
    <w:rsid w:val="00F973D4"/>
    <w:rsid w:val="00FA6214"/>
    <w:rsid w:val="00FA7460"/>
    <w:rsid w:val="00FB1936"/>
    <w:rsid w:val="00FC4C42"/>
    <w:rsid w:val="00FD3EA3"/>
    <w:rsid w:val="00FF0485"/>
    <w:rsid w:val="00FF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99"/>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57FD"/>
    <w:rPr>
      <w:sz w:val="16"/>
      <w:szCs w:val="16"/>
    </w:rPr>
  </w:style>
  <w:style w:type="paragraph" w:styleId="CommentText">
    <w:name w:val="annotation text"/>
    <w:basedOn w:val="Normal"/>
    <w:link w:val="CommentTextChar"/>
    <w:uiPriority w:val="99"/>
    <w:semiHidden/>
    <w:unhideWhenUsed/>
    <w:rsid w:val="009257FD"/>
    <w:pPr>
      <w:spacing w:line="240" w:lineRule="auto"/>
    </w:pPr>
    <w:rPr>
      <w:sz w:val="20"/>
      <w:szCs w:val="20"/>
    </w:rPr>
  </w:style>
  <w:style w:type="character" w:customStyle="1" w:styleId="CommentTextChar">
    <w:name w:val="Comment Text Char"/>
    <w:basedOn w:val="DefaultParagraphFont"/>
    <w:link w:val="CommentText"/>
    <w:uiPriority w:val="99"/>
    <w:semiHidden/>
    <w:rsid w:val="009257FD"/>
    <w:rPr>
      <w:sz w:val="20"/>
      <w:szCs w:val="20"/>
    </w:rPr>
  </w:style>
  <w:style w:type="paragraph" w:styleId="CommentSubject">
    <w:name w:val="annotation subject"/>
    <w:basedOn w:val="CommentText"/>
    <w:next w:val="CommentText"/>
    <w:link w:val="CommentSubjectChar"/>
    <w:uiPriority w:val="99"/>
    <w:semiHidden/>
    <w:unhideWhenUsed/>
    <w:rsid w:val="009257FD"/>
    <w:rPr>
      <w:b/>
      <w:bCs/>
    </w:rPr>
  </w:style>
  <w:style w:type="character" w:customStyle="1" w:styleId="CommentSubjectChar">
    <w:name w:val="Comment Subject Char"/>
    <w:basedOn w:val="CommentTextChar"/>
    <w:link w:val="CommentSubject"/>
    <w:uiPriority w:val="99"/>
    <w:semiHidden/>
    <w:rsid w:val="009257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99"/>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257FD"/>
    <w:rPr>
      <w:sz w:val="16"/>
      <w:szCs w:val="16"/>
    </w:rPr>
  </w:style>
  <w:style w:type="paragraph" w:styleId="CommentText">
    <w:name w:val="annotation text"/>
    <w:basedOn w:val="Normal"/>
    <w:link w:val="CommentTextChar"/>
    <w:uiPriority w:val="99"/>
    <w:semiHidden/>
    <w:unhideWhenUsed/>
    <w:rsid w:val="009257FD"/>
    <w:pPr>
      <w:spacing w:line="240" w:lineRule="auto"/>
    </w:pPr>
    <w:rPr>
      <w:sz w:val="20"/>
      <w:szCs w:val="20"/>
    </w:rPr>
  </w:style>
  <w:style w:type="character" w:customStyle="1" w:styleId="CommentTextChar">
    <w:name w:val="Comment Text Char"/>
    <w:basedOn w:val="DefaultParagraphFont"/>
    <w:link w:val="CommentText"/>
    <w:uiPriority w:val="99"/>
    <w:semiHidden/>
    <w:rsid w:val="009257FD"/>
    <w:rPr>
      <w:sz w:val="20"/>
      <w:szCs w:val="20"/>
    </w:rPr>
  </w:style>
  <w:style w:type="paragraph" w:styleId="CommentSubject">
    <w:name w:val="annotation subject"/>
    <w:basedOn w:val="CommentText"/>
    <w:next w:val="CommentText"/>
    <w:link w:val="CommentSubjectChar"/>
    <w:uiPriority w:val="99"/>
    <w:semiHidden/>
    <w:unhideWhenUsed/>
    <w:rsid w:val="009257FD"/>
    <w:rPr>
      <w:b/>
      <w:bCs/>
    </w:rPr>
  </w:style>
  <w:style w:type="character" w:customStyle="1" w:styleId="CommentSubjectChar">
    <w:name w:val="Comment Subject Char"/>
    <w:basedOn w:val="CommentTextChar"/>
    <w:link w:val="CommentSubject"/>
    <w:uiPriority w:val="99"/>
    <w:semiHidden/>
    <w:rsid w:val="00925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7577">
      <w:bodyDiv w:val="1"/>
      <w:marLeft w:val="0"/>
      <w:marRight w:val="0"/>
      <w:marTop w:val="0"/>
      <w:marBottom w:val="0"/>
      <w:divBdr>
        <w:top w:val="none" w:sz="0" w:space="0" w:color="auto"/>
        <w:left w:val="none" w:sz="0" w:space="0" w:color="auto"/>
        <w:bottom w:val="none" w:sz="0" w:space="0" w:color="auto"/>
        <w:right w:val="none" w:sz="0" w:space="0" w:color="auto"/>
      </w:divBdr>
    </w:div>
    <w:div w:id="16307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D1EFA-052A-42AF-9800-EC07CC57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2018-06-29T13:51:00Z</cp:lastPrinted>
  <dcterms:created xsi:type="dcterms:W3CDTF">2018-08-10T14:09:00Z</dcterms:created>
  <dcterms:modified xsi:type="dcterms:W3CDTF">2018-08-10T14:09:00Z</dcterms:modified>
</cp:coreProperties>
</file>