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67" w:rsidRDefault="00A77E67" w:rsidP="000D7879">
      <w:pPr>
        <w:jc w:val="both"/>
      </w:pPr>
      <w:bookmarkStart w:id="0" w:name="_GoBack"/>
      <w:bookmarkEnd w:id="0"/>
    </w:p>
    <w:p w:rsidR="00FD3C2F" w:rsidRDefault="00FD3C2F" w:rsidP="000D7879">
      <w:pPr>
        <w:spacing w:after="0" w:line="240" w:lineRule="auto"/>
        <w:jc w:val="both"/>
        <w:rPr>
          <w:rFonts w:cs="Arial"/>
          <w:b/>
        </w:rPr>
      </w:pPr>
      <w:r>
        <w:rPr>
          <w:rFonts w:cs="Arial"/>
          <w:b/>
        </w:rPr>
        <w:t>1.0</w:t>
      </w:r>
      <w:r>
        <w:rPr>
          <w:rFonts w:cs="Arial"/>
          <w:b/>
        </w:rPr>
        <w:tab/>
        <w:t>Introduction</w:t>
      </w:r>
    </w:p>
    <w:p w:rsidR="00FD3C2F" w:rsidRDefault="00FD3C2F" w:rsidP="000D7879">
      <w:pPr>
        <w:spacing w:after="0" w:line="240" w:lineRule="auto"/>
        <w:jc w:val="both"/>
        <w:rPr>
          <w:rFonts w:cs="Arial"/>
          <w:b/>
        </w:rPr>
      </w:pPr>
    </w:p>
    <w:p w:rsidR="00FD3C2F" w:rsidRDefault="00FD3C2F" w:rsidP="000D7879">
      <w:pPr>
        <w:widowControl w:val="0"/>
        <w:autoSpaceDE w:val="0"/>
        <w:autoSpaceDN w:val="0"/>
        <w:adjustRightInd w:val="0"/>
        <w:spacing w:after="0" w:line="240" w:lineRule="auto"/>
        <w:ind w:left="709" w:right="53" w:hanging="709"/>
        <w:jc w:val="both"/>
        <w:rPr>
          <w:rFonts w:cs="Arial"/>
          <w:spacing w:val="2"/>
        </w:rPr>
      </w:pPr>
      <w:r>
        <w:rPr>
          <w:rFonts w:cs="Arial"/>
          <w:spacing w:val="2"/>
        </w:rPr>
        <w:t>1.1</w:t>
      </w:r>
      <w:r>
        <w:rPr>
          <w:rFonts w:cs="Arial"/>
          <w:spacing w:val="2"/>
        </w:rPr>
        <w:tab/>
        <w:t xml:space="preserve">The One Manchester Group and its subsidiary companies recognise its duties and responsibilities as a landlord in connection with gas safety in relation to its housing stock, premises and any other buildings with a gas supply that it has responsibility for. </w:t>
      </w:r>
    </w:p>
    <w:p w:rsidR="00FD3C2F" w:rsidRDefault="00FD3C2F" w:rsidP="000D7879">
      <w:pPr>
        <w:widowControl w:val="0"/>
        <w:autoSpaceDE w:val="0"/>
        <w:autoSpaceDN w:val="0"/>
        <w:adjustRightInd w:val="0"/>
        <w:spacing w:after="0" w:line="240" w:lineRule="auto"/>
        <w:ind w:left="709" w:right="53" w:hanging="709"/>
        <w:jc w:val="both"/>
        <w:rPr>
          <w:rFonts w:cs="Arial"/>
          <w:spacing w:val="2"/>
        </w:rPr>
      </w:pPr>
    </w:p>
    <w:p w:rsidR="00FD3C2F" w:rsidRDefault="00FD3C2F" w:rsidP="000D7879">
      <w:pPr>
        <w:widowControl w:val="0"/>
        <w:autoSpaceDE w:val="0"/>
        <w:autoSpaceDN w:val="0"/>
        <w:adjustRightInd w:val="0"/>
        <w:spacing w:after="0" w:line="240" w:lineRule="auto"/>
        <w:ind w:left="709" w:right="53" w:hanging="709"/>
        <w:jc w:val="both"/>
        <w:rPr>
          <w:rFonts w:cs="Arial"/>
        </w:rPr>
      </w:pPr>
      <w:r>
        <w:rPr>
          <w:rFonts w:cs="Arial"/>
          <w:spacing w:val="2"/>
        </w:rPr>
        <w:t>1.2</w:t>
      </w:r>
      <w:r>
        <w:rPr>
          <w:rFonts w:cs="Arial"/>
          <w:spacing w:val="2"/>
        </w:rPr>
        <w:tab/>
      </w:r>
      <w:r>
        <w:rPr>
          <w:rFonts w:cs="Arial"/>
        </w:rPr>
        <w:t>One Manchester is committed to achieving the highest possible standards in the services it supplies, providing homes that are safe and meet legislative requirements and best practice.</w:t>
      </w:r>
    </w:p>
    <w:p w:rsidR="00FD3C2F" w:rsidRDefault="00FD3C2F" w:rsidP="000D7879">
      <w:pPr>
        <w:widowControl w:val="0"/>
        <w:autoSpaceDE w:val="0"/>
        <w:autoSpaceDN w:val="0"/>
        <w:adjustRightInd w:val="0"/>
        <w:spacing w:after="0" w:line="240" w:lineRule="auto"/>
        <w:ind w:right="53"/>
        <w:jc w:val="both"/>
        <w:rPr>
          <w:rFonts w:cs="Arial"/>
        </w:rPr>
      </w:pPr>
    </w:p>
    <w:p w:rsidR="00FD3C2F" w:rsidRDefault="00FD3C2F" w:rsidP="000D7879">
      <w:pPr>
        <w:widowControl w:val="0"/>
        <w:autoSpaceDE w:val="0"/>
        <w:autoSpaceDN w:val="0"/>
        <w:adjustRightInd w:val="0"/>
        <w:spacing w:after="0" w:line="240" w:lineRule="auto"/>
        <w:ind w:left="709" w:right="53" w:hanging="709"/>
        <w:jc w:val="both"/>
        <w:rPr>
          <w:rFonts w:cs="Arial"/>
          <w:spacing w:val="10"/>
        </w:rPr>
      </w:pPr>
      <w:r>
        <w:rPr>
          <w:rFonts w:cs="Arial"/>
          <w:spacing w:val="2"/>
        </w:rPr>
        <w:t>1.3</w:t>
      </w:r>
      <w:r>
        <w:rPr>
          <w:rFonts w:cs="Arial"/>
          <w:spacing w:val="2"/>
        </w:rPr>
        <w:tab/>
        <w:t xml:space="preserve">One Manchester will take all reasonable steps to ensure that appropriate management systems are in place to ensure employees and members of the public are not put at risk from the effects of gas or carbon monoxide emissions. </w:t>
      </w:r>
    </w:p>
    <w:p w:rsidR="00FD3C2F" w:rsidRDefault="00FD3C2F" w:rsidP="000D7879">
      <w:pPr>
        <w:widowControl w:val="0"/>
        <w:autoSpaceDE w:val="0"/>
        <w:autoSpaceDN w:val="0"/>
        <w:adjustRightInd w:val="0"/>
        <w:spacing w:after="0" w:line="240" w:lineRule="auto"/>
        <w:ind w:left="709" w:right="53"/>
        <w:jc w:val="both"/>
        <w:rPr>
          <w:rFonts w:cs="Arial"/>
          <w:spacing w:val="10"/>
        </w:rPr>
      </w:pPr>
    </w:p>
    <w:p w:rsidR="00FD3C2F" w:rsidRDefault="00FD3C2F" w:rsidP="000D7879">
      <w:pPr>
        <w:widowControl w:val="0"/>
        <w:autoSpaceDE w:val="0"/>
        <w:autoSpaceDN w:val="0"/>
        <w:adjustRightInd w:val="0"/>
        <w:spacing w:after="0" w:line="240" w:lineRule="auto"/>
        <w:ind w:right="53"/>
        <w:jc w:val="both"/>
        <w:rPr>
          <w:rFonts w:cs="Arial"/>
          <w:b/>
        </w:rPr>
      </w:pPr>
      <w:r>
        <w:rPr>
          <w:rFonts w:cs="Arial"/>
          <w:b/>
          <w:spacing w:val="10"/>
        </w:rPr>
        <w:t>2.0</w:t>
      </w:r>
      <w:r>
        <w:rPr>
          <w:rFonts w:cs="Arial"/>
          <w:spacing w:val="10"/>
        </w:rPr>
        <w:tab/>
      </w:r>
      <w:r>
        <w:rPr>
          <w:rFonts w:cs="Arial"/>
          <w:b/>
        </w:rPr>
        <w:t>Purpose</w:t>
      </w:r>
    </w:p>
    <w:p w:rsidR="00FD3C2F" w:rsidRDefault="00FD3C2F" w:rsidP="000D7879">
      <w:pPr>
        <w:widowControl w:val="0"/>
        <w:autoSpaceDE w:val="0"/>
        <w:autoSpaceDN w:val="0"/>
        <w:adjustRightInd w:val="0"/>
        <w:spacing w:after="0" w:line="240" w:lineRule="auto"/>
        <w:ind w:right="53"/>
        <w:jc w:val="both"/>
        <w:rPr>
          <w:rFonts w:cs="Arial"/>
          <w:b/>
        </w:rPr>
      </w:pPr>
    </w:p>
    <w:p w:rsidR="00FD3C2F" w:rsidRDefault="00FD3C2F" w:rsidP="000D7879">
      <w:pPr>
        <w:widowControl w:val="0"/>
        <w:autoSpaceDE w:val="0"/>
        <w:autoSpaceDN w:val="0"/>
        <w:adjustRightInd w:val="0"/>
        <w:spacing w:after="0" w:line="240" w:lineRule="auto"/>
        <w:ind w:left="709" w:right="53" w:hanging="709"/>
        <w:jc w:val="both"/>
        <w:rPr>
          <w:rFonts w:cs="Arial"/>
          <w:spacing w:val="2"/>
        </w:rPr>
      </w:pPr>
      <w:r>
        <w:rPr>
          <w:rFonts w:cs="Arial"/>
        </w:rPr>
        <w:t>2.1</w:t>
      </w:r>
      <w:r>
        <w:rPr>
          <w:rFonts w:cs="Arial"/>
        </w:rPr>
        <w:tab/>
        <w:t>To establish a policy for compliance with the Gas Safety (Installation and Use) Regulations 1998 (which came into force on 31 October 1998 amended 201</w:t>
      </w:r>
      <w:r w:rsidR="003C6175">
        <w:rPr>
          <w:rFonts w:cs="Arial"/>
        </w:rPr>
        <w:t>8</w:t>
      </w:r>
      <w:r>
        <w:rPr>
          <w:rFonts w:cs="Arial"/>
        </w:rPr>
        <w:t>) and other repairing obligations and statutory requirements regarding checking and repairing of gas appliances, flues and installations. Regulation</w:t>
      </w:r>
      <w:r w:rsidR="003C6175">
        <w:rPr>
          <w:rFonts w:cs="Arial"/>
        </w:rPr>
        <w:t>s 4, 35 and</w:t>
      </w:r>
      <w:r>
        <w:rPr>
          <w:rFonts w:cs="Arial"/>
        </w:rPr>
        <w:t xml:space="preserve"> 36 </w:t>
      </w:r>
      <w:r w:rsidR="000D7879">
        <w:rPr>
          <w:rFonts w:cs="Arial"/>
        </w:rPr>
        <w:t>(1) to (10) in particular refer</w:t>
      </w:r>
      <w:r>
        <w:rPr>
          <w:rFonts w:cs="Arial"/>
        </w:rPr>
        <w:t xml:space="preserve"> to the duties and responsibilities of landlords in connection with gas safety. </w:t>
      </w:r>
      <w:r>
        <w:rPr>
          <w:rFonts w:cs="Arial"/>
          <w:spacing w:val="2"/>
        </w:rPr>
        <w:t xml:space="preserve">These duties are in addition to the more general ones that landlords have under the Health and Safety at Work Act </w:t>
      </w:r>
      <w:r w:rsidR="003C6175">
        <w:rPr>
          <w:rFonts w:cs="Arial"/>
          <w:spacing w:val="2"/>
        </w:rPr>
        <w:t xml:space="preserve">1974 </w:t>
      </w:r>
      <w:r>
        <w:rPr>
          <w:rFonts w:cs="Arial"/>
          <w:spacing w:val="2"/>
        </w:rPr>
        <w:t>and the Management of Health and Safety at Work Regulations.</w:t>
      </w:r>
    </w:p>
    <w:p w:rsidR="00FD3C2F" w:rsidRDefault="00FD3C2F" w:rsidP="000D7879">
      <w:pPr>
        <w:widowControl w:val="0"/>
        <w:autoSpaceDE w:val="0"/>
        <w:autoSpaceDN w:val="0"/>
        <w:adjustRightInd w:val="0"/>
        <w:spacing w:after="0" w:line="240" w:lineRule="auto"/>
        <w:ind w:left="709" w:right="53" w:hanging="709"/>
        <w:jc w:val="both"/>
        <w:rPr>
          <w:rFonts w:cs="Arial"/>
          <w:spacing w:val="2"/>
        </w:rPr>
      </w:pPr>
    </w:p>
    <w:p w:rsidR="00FD3C2F" w:rsidRDefault="00FD3C2F" w:rsidP="000D7879">
      <w:pPr>
        <w:spacing w:after="0" w:line="240" w:lineRule="auto"/>
        <w:ind w:left="709" w:hanging="709"/>
        <w:jc w:val="both"/>
        <w:rPr>
          <w:rFonts w:cs="Arial"/>
        </w:rPr>
      </w:pPr>
      <w:r>
        <w:rPr>
          <w:rFonts w:cs="Arial"/>
        </w:rPr>
        <w:t>2.2</w:t>
      </w:r>
      <w:r>
        <w:rPr>
          <w:rFonts w:cs="Arial"/>
        </w:rPr>
        <w:tab/>
        <w:t xml:space="preserve">The purpose of this policy is to demonstrate commitment to ensuring its employees, tenants, contractors and the general public, are not knowingly exposed to any risk that would affect their safety. </w:t>
      </w:r>
    </w:p>
    <w:p w:rsidR="00FD3C2F" w:rsidRDefault="00FD3C2F" w:rsidP="000D7879">
      <w:pPr>
        <w:spacing w:after="0" w:line="240" w:lineRule="auto"/>
        <w:ind w:left="709"/>
        <w:jc w:val="both"/>
        <w:rPr>
          <w:rFonts w:cs="Arial"/>
        </w:rPr>
      </w:pPr>
    </w:p>
    <w:p w:rsidR="00FD3C2F" w:rsidRDefault="00FD3C2F" w:rsidP="000D7879">
      <w:pPr>
        <w:spacing w:after="0" w:line="240" w:lineRule="auto"/>
        <w:ind w:left="720" w:hanging="720"/>
        <w:jc w:val="both"/>
        <w:rPr>
          <w:rFonts w:cs="Arial"/>
          <w:b/>
        </w:rPr>
      </w:pPr>
      <w:r>
        <w:rPr>
          <w:noProof/>
          <w:lang w:eastAsia="en-GB"/>
        </w:rPr>
        <mc:AlternateContent>
          <mc:Choice Requires="wps">
            <w:drawing>
              <wp:anchor distT="0" distB="0" distL="114300" distR="114300" simplePos="0" relativeHeight="251658240" behindDoc="1" locked="0" layoutInCell="0" allowOverlap="1" wp14:anchorId="3B3E6E75" wp14:editId="6520526C">
                <wp:simplePos x="0" y="0"/>
                <wp:positionH relativeFrom="page">
                  <wp:posOffset>1714500</wp:posOffset>
                </wp:positionH>
                <wp:positionV relativeFrom="paragraph">
                  <wp:posOffset>177800</wp:posOffset>
                </wp:positionV>
                <wp:extent cx="139700" cy="381000"/>
                <wp:effectExtent l="0" t="0" r="317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C2F" w:rsidRDefault="00FD3C2F" w:rsidP="00FD3C2F">
                            <w:pPr>
                              <w:spacing w:after="0" w:line="600" w:lineRule="atLeast"/>
                              <w:rPr>
                                <w:rFonts w:ascii="Times New Roman" w:hAnsi="Times New Roman"/>
                                <w:sz w:val="24"/>
                                <w:szCs w:val="24"/>
                              </w:rPr>
                            </w:pPr>
                            <w:r>
                              <w:rPr>
                                <w:noProof/>
                                <w:sz w:val="20"/>
                                <w:szCs w:val="20"/>
                                <w:lang w:eastAsia="en-GB"/>
                              </w:rPr>
                              <w:drawing>
                                <wp:inline distT="0" distB="0" distL="0" distR="0" wp14:anchorId="1C506237" wp14:editId="52D494D2">
                                  <wp:extent cx="14287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rsidR="00FD3C2F" w:rsidRDefault="00FD3C2F" w:rsidP="00FD3C2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35pt;margin-top:14pt;width:11pt;height: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" o:allowincell="f" filled="f" stroked="f">
                <v:textbox inset="0,0,0,0">
                  <w:txbxContent>
                    <w:p w:rsidR="00FD3C2F" w:rsidRDefault="00FD3C2F" w:rsidP="00FD3C2F">
                      <w:pPr>
                        <w:spacing w:after="0" w:line="600" w:lineRule="atLeast"/>
                        <w:rPr>
                          <w:rFonts w:ascii="Times New Roman" w:hAnsi="Times New Roman"/>
                          <w:sz w:val="24"/>
                          <w:szCs w:val="24"/>
                        </w:rPr>
                      </w:pPr>
                      <w:r>
                        <w:rPr>
                          <w:noProof/>
                          <w:sz w:val="20"/>
                          <w:szCs w:val="20"/>
                          <w:lang w:eastAsia="en-GB"/>
                        </w:rPr>
                        <w:drawing>
                          <wp:inline distT="0" distB="0" distL="0" distR="0" wp14:anchorId="1C506237" wp14:editId="52D494D2">
                            <wp:extent cx="14287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rsidR="00FD3C2F" w:rsidRDefault="00FD3C2F" w:rsidP="00FD3C2F">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cs="Arial"/>
          <w:b/>
        </w:rPr>
        <w:t>3.0</w:t>
      </w:r>
      <w:r>
        <w:rPr>
          <w:rFonts w:cs="Arial"/>
          <w:b/>
        </w:rPr>
        <w:tab/>
        <w:t>Scope and Responsibility</w:t>
      </w:r>
    </w:p>
    <w:p w:rsidR="00FD3C2F" w:rsidRDefault="00FD3C2F" w:rsidP="000D7879">
      <w:pPr>
        <w:spacing w:after="0" w:line="240" w:lineRule="auto"/>
        <w:ind w:left="720" w:hanging="720"/>
        <w:jc w:val="both"/>
        <w:rPr>
          <w:rFonts w:cs="Arial"/>
          <w:b/>
        </w:rPr>
      </w:pPr>
    </w:p>
    <w:p w:rsidR="00FD3C2F" w:rsidRDefault="00FD3C2F" w:rsidP="000D7879">
      <w:pPr>
        <w:pStyle w:val="Default"/>
        <w:ind w:left="720" w:hanging="720"/>
        <w:jc w:val="both"/>
        <w:rPr>
          <w:rFonts w:ascii="Calibri" w:hAnsi="Calibri"/>
          <w:bCs/>
          <w:sz w:val="22"/>
          <w:szCs w:val="22"/>
        </w:rPr>
      </w:pPr>
      <w:r>
        <w:rPr>
          <w:rFonts w:ascii="Calibri" w:hAnsi="Calibri"/>
          <w:sz w:val="22"/>
          <w:szCs w:val="22"/>
        </w:rPr>
        <w:t>3.1</w:t>
      </w:r>
      <w:r>
        <w:rPr>
          <w:rFonts w:ascii="Calibri" w:hAnsi="Calibri"/>
          <w:b/>
          <w:sz w:val="22"/>
          <w:szCs w:val="22"/>
        </w:rPr>
        <w:tab/>
      </w:r>
      <w:r>
        <w:rPr>
          <w:rFonts w:ascii="Calibri" w:hAnsi="Calibri"/>
          <w:bCs/>
          <w:sz w:val="22"/>
          <w:szCs w:val="22"/>
        </w:rPr>
        <w:t>The policy applies to all premises where One Manchester and its subsidiary companies have responsibility for gas safety, this includes domestic rented properties, domestic housing stock and commercial responsibilities, office premises, and all work undertaken in these properties on One Manchester’s behalf.</w:t>
      </w:r>
    </w:p>
    <w:p w:rsidR="00FD3C2F" w:rsidRDefault="00FD3C2F" w:rsidP="000D7879">
      <w:pPr>
        <w:pStyle w:val="Default"/>
        <w:jc w:val="both"/>
        <w:rPr>
          <w:rFonts w:ascii="Calibri" w:hAnsi="Calibri"/>
          <w:bCs/>
          <w:sz w:val="22"/>
          <w:szCs w:val="22"/>
        </w:rPr>
      </w:pPr>
    </w:p>
    <w:p w:rsidR="00FD3C2F" w:rsidRDefault="00FD3C2F" w:rsidP="000D7879">
      <w:pPr>
        <w:pStyle w:val="Default"/>
        <w:jc w:val="both"/>
        <w:rPr>
          <w:rFonts w:ascii="Calibri" w:hAnsi="Calibri"/>
          <w:b/>
          <w:sz w:val="22"/>
          <w:szCs w:val="22"/>
        </w:rPr>
      </w:pPr>
      <w:r>
        <w:rPr>
          <w:rFonts w:ascii="Calibri" w:hAnsi="Calibri"/>
          <w:b/>
          <w:sz w:val="22"/>
          <w:szCs w:val="22"/>
        </w:rPr>
        <w:t>4.0</w:t>
      </w:r>
      <w:r>
        <w:rPr>
          <w:rFonts w:ascii="Calibri" w:hAnsi="Calibri"/>
          <w:b/>
          <w:sz w:val="22"/>
          <w:szCs w:val="22"/>
        </w:rPr>
        <w:tab/>
        <w:t>The Policy</w:t>
      </w:r>
    </w:p>
    <w:p w:rsidR="00FD3C2F" w:rsidRDefault="00FD3C2F" w:rsidP="000D7879">
      <w:pPr>
        <w:pStyle w:val="Default"/>
        <w:jc w:val="both"/>
        <w:rPr>
          <w:rFonts w:ascii="Calibri" w:hAnsi="Calibri"/>
          <w:b/>
          <w:sz w:val="22"/>
          <w:szCs w:val="22"/>
        </w:rPr>
      </w:pPr>
      <w:r>
        <w:rPr>
          <w:rFonts w:ascii="Calibri" w:hAnsi="Calibri"/>
          <w:b/>
          <w:sz w:val="22"/>
          <w:szCs w:val="22"/>
        </w:rPr>
        <w:tab/>
      </w:r>
    </w:p>
    <w:p w:rsidR="00FD3C2F" w:rsidRDefault="00FD3C2F" w:rsidP="000D7879">
      <w:pPr>
        <w:pStyle w:val="Default"/>
        <w:jc w:val="both"/>
        <w:rPr>
          <w:rFonts w:ascii="Calibri" w:hAnsi="Calibri"/>
          <w:sz w:val="22"/>
          <w:szCs w:val="22"/>
        </w:rPr>
      </w:pPr>
      <w:r>
        <w:rPr>
          <w:rFonts w:ascii="Calibri" w:hAnsi="Calibri"/>
          <w:b/>
          <w:sz w:val="22"/>
          <w:szCs w:val="22"/>
        </w:rPr>
        <w:t>4.1</w:t>
      </w:r>
      <w:r>
        <w:rPr>
          <w:rFonts w:ascii="Calibri" w:hAnsi="Calibri"/>
          <w:b/>
          <w:sz w:val="22"/>
          <w:szCs w:val="22"/>
        </w:rPr>
        <w:tab/>
      </w:r>
      <w:r>
        <w:rPr>
          <w:rFonts w:ascii="Calibri" w:hAnsi="Calibri"/>
          <w:b/>
          <w:bCs/>
          <w:sz w:val="22"/>
          <w:szCs w:val="22"/>
        </w:rPr>
        <w:t xml:space="preserve"> </w:t>
      </w:r>
      <w:r>
        <w:rPr>
          <w:rFonts w:ascii="Calibri" w:hAnsi="Calibri"/>
          <w:sz w:val="22"/>
          <w:szCs w:val="22"/>
        </w:rPr>
        <w:t>The guiding principles in our approach to the Gas Safety Policy:</w:t>
      </w:r>
    </w:p>
    <w:p w:rsidR="00FD3C2F" w:rsidRDefault="00FD3C2F" w:rsidP="000D7879">
      <w:pPr>
        <w:pStyle w:val="Default"/>
        <w:jc w:val="both"/>
        <w:rPr>
          <w:rFonts w:ascii="Calibri" w:hAnsi="Calibri"/>
          <w:sz w:val="22"/>
          <w:szCs w:val="22"/>
        </w:rPr>
      </w:pPr>
    </w:p>
    <w:p w:rsidR="00FD3C2F" w:rsidRDefault="00FD3C2F" w:rsidP="000D7879">
      <w:pPr>
        <w:pStyle w:val="Default"/>
        <w:ind w:left="720" w:hanging="720"/>
        <w:jc w:val="both"/>
        <w:rPr>
          <w:rFonts w:ascii="Calibri" w:hAnsi="Calibri"/>
          <w:sz w:val="22"/>
          <w:szCs w:val="22"/>
        </w:rPr>
      </w:pPr>
      <w:r>
        <w:rPr>
          <w:rFonts w:ascii="Calibri" w:hAnsi="Calibri"/>
          <w:spacing w:val="-1"/>
          <w:sz w:val="22"/>
          <w:szCs w:val="22"/>
        </w:rPr>
        <w:t>4.2</w:t>
      </w:r>
      <w:r>
        <w:rPr>
          <w:rFonts w:ascii="Calibri" w:hAnsi="Calibri"/>
          <w:spacing w:val="-1"/>
          <w:sz w:val="22"/>
          <w:szCs w:val="22"/>
        </w:rPr>
        <w:tab/>
        <w:t>One Manchester acknowledges and accepts its responsibilities under the Gas Safety (installation and Use) Regulations 1998</w:t>
      </w:r>
      <w:r w:rsidR="003C6175">
        <w:rPr>
          <w:rFonts w:ascii="Calibri" w:hAnsi="Calibri"/>
          <w:spacing w:val="-1"/>
          <w:sz w:val="22"/>
          <w:szCs w:val="22"/>
        </w:rPr>
        <w:t xml:space="preserve"> (amended 2018)</w:t>
      </w:r>
      <w:r>
        <w:rPr>
          <w:rFonts w:ascii="Calibri" w:hAnsi="Calibri"/>
          <w:spacing w:val="-1"/>
          <w:sz w:val="22"/>
          <w:szCs w:val="22"/>
        </w:rPr>
        <w:t>. Failure to properly discharge these responsibilities may result in:</w:t>
      </w:r>
    </w:p>
    <w:p w:rsidR="00FD3C2F" w:rsidRDefault="00FD3C2F" w:rsidP="000D7879">
      <w:pPr>
        <w:pStyle w:val="Default"/>
        <w:numPr>
          <w:ilvl w:val="0"/>
          <w:numId w:val="41"/>
        </w:numPr>
        <w:ind w:left="1134" w:hanging="425"/>
        <w:jc w:val="both"/>
        <w:rPr>
          <w:rFonts w:ascii="Calibri" w:hAnsi="Calibri"/>
          <w:sz w:val="22"/>
          <w:szCs w:val="22"/>
        </w:rPr>
      </w:pPr>
      <w:r>
        <w:rPr>
          <w:rFonts w:ascii="Calibri" w:hAnsi="Calibri"/>
          <w:sz w:val="22"/>
          <w:szCs w:val="22"/>
        </w:rPr>
        <w:t>Prosecution by Health and Safety executive under Health and Safety at Work Act 1974</w:t>
      </w:r>
    </w:p>
    <w:p w:rsidR="00FD3C2F" w:rsidRDefault="00FD3C2F" w:rsidP="000D7879">
      <w:pPr>
        <w:pStyle w:val="Default"/>
        <w:numPr>
          <w:ilvl w:val="0"/>
          <w:numId w:val="41"/>
        </w:numPr>
        <w:ind w:left="1134" w:hanging="425"/>
        <w:jc w:val="both"/>
        <w:rPr>
          <w:rFonts w:ascii="Calibri" w:hAnsi="Calibri"/>
          <w:sz w:val="22"/>
          <w:szCs w:val="22"/>
        </w:rPr>
      </w:pPr>
      <w:r>
        <w:rPr>
          <w:rFonts w:ascii="Calibri" w:hAnsi="Calibri"/>
          <w:sz w:val="22"/>
          <w:szCs w:val="22"/>
        </w:rPr>
        <w:t>Prosecution under Corporate Manslaughter and Corporate Homicide Act 2007</w:t>
      </w:r>
    </w:p>
    <w:p w:rsidR="00FD3C2F" w:rsidRDefault="00FD3C2F" w:rsidP="000D7879">
      <w:pPr>
        <w:pStyle w:val="Default"/>
        <w:numPr>
          <w:ilvl w:val="0"/>
          <w:numId w:val="41"/>
        </w:numPr>
        <w:ind w:left="1134" w:hanging="425"/>
        <w:jc w:val="both"/>
        <w:rPr>
          <w:rFonts w:ascii="Calibri" w:hAnsi="Calibri"/>
          <w:sz w:val="22"/>
          <w:szCs w:val="22"/>
        </w:rPr>
      </w:pPr>
      <w:r>
        <w:rPr>
          <w:rFonts w:ascii="Calibri" w:hAnsi="Calibri"/>
          <w:sz w:val="22"/>
          <w:szCs w:val="22"/>
        </w:rPr>
        <w:t>HCA serious detriment judgement.</w:t>
      </w:r>
    </w:p>
    <w:p w:rsidR="00FD3C2F" w:rsidRDefault="00FD3C2F" w:rsidP="000D7879">
      <w:pPr>
        <w:pStyle w:val="Default"/>
        <w:ind w:left="720"/>
        <w:jc w:val="both"/>
        <w:rPr>
          <w:rFonts w:ascii="Calibri" w:hAnsi="Calibri"/>
          <w:sz w:val="22"/>
          <w:szCs w:val="22"/>
        </w:rPr>
      </w:pPr>
    </w:p>
    <w:p w:rsidR="00FD3C2F" w:rsidRDefault="00FD3C2F" w:rsidP="000D7879">
      <w:pPr>
        <w:pStyle w:val="Default"/>
        <w:ind w:left="709" w:hanging="709"/>
        <w:jc w:val="both"/>
        <w:rPr>
          <w:rFonts w:ascii="Calibri" w:hAnsi="Calibri"/>
          <w:sz w:val="22"/>
          <w:szCs w:val="22"/>
        </w:rPr>
      </w:pPr>
      <w:r>
        <w:rPr>
          <w:rFonts w:ascii="Calibri" w:hAnsi="Calibri"/>
          <w:sz w:val="22"/>
          <w:szCs w:val="22"/>
        </w:rPr>
        <w:t>4.3</w:t>
      </w:r>
      <w:r>
        <w:rPr>
          <w:rFonts w:ascii="Calibri" w:hAnsi="Calibri"/>
          <w:sz w:val="22"/>
          <w:szCs w:val="22"/>
        </w:rPr>
        <w:tab/>
        <w:t>One Manchester will achieve compliance with all relevant statutory, legal and regulatory standards by means of the following:</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pacing w:val="-1"/>
          <w:sz w:val="22"/>
          <w:szCs w:val="22"/>
        </w:rPr>
        <w:t>Ensure legal compliance is maintained to minimise risk.</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pacing w:val="-1"/>
          <w:sz w:val="22"/>
          <w:szCs w:val="22"/>
        </w:rPr>
        <w:t>Have well maintained gas installations which are free from defect.</w:t>
      </w:r>
    </w:p>
    <w:p w:rsidR="00857064" w:rsidRDefault="00857064" w:rsidP="00857064">
      <w:pPr>
        <w:pStyle w:val="Default"/>
        <w:ind w:left="993"/>
        <w:jc w:val="both"/>
        <w:rPr>
          <w:rFonts w:ascii="Calibri" w:hAnsi="Calibri"/>
          <w:sz w:val="22"/>
          <w:szCs w:val="22"/>
        </w:rPr>
      </w:pPr>
    </w:p>
    <w:p w:rsidR="00FD3C2F" w:rsidRPr="00857064" w:rsidRDefault="000D7879" w:rsidP="00857064">
      <w:pPr>
        <w:pStyle w:val="Default"/>
        <w:numPr>
          <w:ilvl w:val="0"/>
          <w:numId w:val="41"/>
        </w:numPr>
        <w:ind w:left="993" w:hanging="284"/>
        <w:jc w:val="both"/>
        <w:rPr>
          <w:rFonts w:ascii="Calibri" w:hAnsi="Calibri"/>
          <w:sz w:val="22"/>
          <w:szCs w:val="22"/>
        </w:rPr>
      </w:pPr>
      <w:r w:rsidRPr="00857064">
        <w:rPr>
          <w:rFonts w:ascii="Calibri" w:hAnsi="Calibri"/>
          <w:spacing w:val="-1"/>
          <w:sz w:val="22"/>
          <w:szCs w:val="22"/>
        </w:rPr>
        <w:t>Ensure all l</w:t>
      </w:r>
      <w:r w:rsidR="003C6175" w:rsidRPr="00857064">
        <w:rPr>
          <w:rFonts w:ascii="Calibri" w:hAnsi="Calibri"/>
          <w:spacing w:val="-1"/>
          <w:sz w:val="22"/>
          <w:szCs w:val="22"/>
        </w:rPr>
        <w:t>andlord owned appliances</w:t>
      </w:r>
      <w:r w:rsidRPr="00857064">
        <w:rPr>
          <w:rFonts w:ascii="Calibri" w:hAnsi="Calibri"/>
          <w:spacing w:val="-1"/>
          <w:sz w:val="22"/>
          <w:szCs w:val="22"/>
        </w:rPr>
        <w:t xml:space="preserve">, </w:t>
      </w:r>
      <w:r w:rsidR="003C6175" w:rsidRPr="00857064">
        <w:rPr>
          <w:rFonts w:ascii="Calibri" w:hAnsi="Calibri"/>
          <w:spacing w:val="-1"/>
          <w:sz w:val="22"/>
          <w:szCs w:val="22"/>
        </w:rPr>
        <w:t xml:space="preserve">to include </w:t>
      </w:r>
      <w:r w:rsidR="00FD3C2F" w:rsidRPr="00857064">
        <w:rPr>
          <w:rFonts w:ascii="Calibri" w:hAnsi="Calibri"/>
          <w:spacing w:val="-1"/>
          <w:sz w:val="22"/>
          <w:szCs w:val="22"/>
        </w:rPr>
        <w:t>domestic, communal and commercial heating gas appliances and boiler plant</w:t>
      </w:r>
      <w:r w:rsidRPr="00857064">
        <w:rPr>
          <w:rFonts w:ascii="Calibri" w:hAnsi="Calibri"/>
          <w:spacing w:val="-1"/>
          <w:sz w:val="22"/>
          <w:szCs w:val="22"/>
        </w:rPr>
        <w:t>,</w:t>
      </w:r>
      <w:r w:rsidR="00FD3C2F" w:rsidRPr="00857064">
        <w:rPr>
          <w:rFonts w:ascii="Calibri" w:hAnsi="Calibri"/>
          <w:spacing w:val="-1"/>
          <w:sz w:val="22"/>
          <w:szCs w:val="22"/>
        </w:rPr>
        <w:t xml:space="preserve"> are properly maintained.</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pacing w:val="-1"/>
          <w:sz w:val="22"/>
          <w:szCs w:val="22"/>
        </w:rPr>
        <w:t>Maintain valid certification of all properties managed by One Manchester.</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pacing w:val="-1"/>
          <w:sz w:val="22"/>
          <w:szCs w:val="22"/>
        </w:rPr>
        <w:t>Provide a timely and efficient and flexible service to customers</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pacing w:val="-1"/>
          <w:sz w:val="22"/>
          <w:szCs w:val="22"/>
        </w:rPr>
        <w:t>Minimise inconvenience and disruption whilst undertaking servicing, repairs and installations.</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pacing w:val="-1"/>
          <w:sz w:val="22"/>
          <w:szCs w:val="22"/>
        </w:rPr>
        <w:t xml:space="preserve">Seek cost effective methods of delivering servicing, repairs and installations to ensure value for money is received. </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z w:val="22"/>
          <w:szCs w:val="22"/>
        </w:rPr>
        <w:t>Have a process in place for void properties, new builds and new acquisitions to ensure the safety of incoming customers.</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z w:val="22"/>
          <w:szCs w:val="22"/>
        </w:rPr>
        <w:t>Have clear monitoring and no access procedures with agreed timescales, including procedures for dealing with vulnerable and other ‘hard to reach’ customers.</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z w:val="22"/>
          <w:szCs w:val="22"/>
        </w:rPr>
        <w:t xml:space="preserve">Ensure that the diverse needs of our customers are considered and respected at all times. </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z w:val="22"/>
          <w:szCs w:val="22"/>
        </w:rPr>
        <w:t>Ensure clarity regarding the scope of One Manchester’s responsibilities to customers.</w:t>
      </w:r>
    </w:p>
    <w:p w:rsidR="00FD3C2F" w:rsidRDefault="00FD3C2F" w:rsidP="000D7879">
      <w:pPr>
        <w:spacing w:after="0" w:line="240" w:lineRule="auto"/>
        <w:jc w:val="both"/>
        <w:rPr>
          <w:rFonts w:cs="Arial"/>
        </w:rPr>
      </w:pPr>
    </w:p>
    <w:p w:rsidR="00FD3C2F" w:rsidRDefault="00FD3C2F" w:rsidP="000D7879">
      <w:pPr>
        <w:spacing w:after="0" w:line="240" w:lineRule="auto"/>
        <w:jc w:val="both"/>
        <w:rPr>
          <w:rFonts w:cs="Arial"/>
          <w:b/>
        </w:rPr>
      </w:pPr>
      <w:r>
        <w:rPr>
          <w:rFonts w:cs="Arial"/>
          <w:b/>
        </w:rPr>
        <w:t>5.0</w:t>
      </w:r>
      <w:r>
        <w:rPr>
          <w:rFonts w:cs="Arial"/>
          <w:b/>
        </w:rPr>
        <w:tab/>
        <w:t>Method and approach</w:t>
      </w:r>
    </w:p>
    <w:p w:rsidR="00FD3C2F" w:rsidRDefault="00FD3C2F" w:rsidP="000D7879">
      <w:pPr>
        <w:spacing w:after="0" w:line="240" w:lineRule="auto"/>
        <w:jc w:val="both"/>
        <w:rPr>
          <w:rFonts w:cs="Arial"/>
          <w:b/>
        </w:rPr>
      </w:pPr>
    </w:p>
    <w:p w:rsidR="00FD3C2F" w:rsidRDefault="00FD3C2F" w:rsidP="000D7879">
      <w:pPr>
        <w:spacing w:after="0" w:line="240" w:lineRule="auto"/>
        <w:ind w:left="720" w:hanging="720"/>
        <w:jc w:val="both"/>
        <w:rPr>
          <w:rFonts w:cs="Arial"/>
        </w:rPr>
      </w:pPr>
      <w:r>
        <w:rPr>
          <w:rFonts w:cs="Arial"/>
        </w:rPr>
        <w:t>5.1</w:t>
      </w:r>
      <w:r>
        <w:rPr>
          <w:rFonts w:cs="Arial"/>
        </w:rPr>
        <w:tab/>
        <w:t xml:space="preserve">This policy should be read in conjunction with the detailed procedure to meet its aims. </w:t>
      </w:r>
    </w:p>
    <w:p w:rsidR="00FD3C2F" w:rsidRDefault="00FD3C2F" w:rsidP="000D7879">
      <w:pPr>
        <w:spacing w:after="0" w:line="240" w:lineRule="auto"/>
        <w:ind w:left="720" w:hanging="720"/>
        <w:jc w:val="both"/>
        <w:rPr>
          <w:rFonts w:cs="Arial"/>
        </w:rPr>
      </w:pPr>
    </w:p>
    <w:p w:rsidR="00FD3C2F" w:rsidRDefault="00FD3C2F" w:rsidP="000D7879">
      <w:pPr>
        <w:spacing w:after="0" w:line="240" w:lineRule="auto"/>
        <w:ind w:left="720" w:hanging="720"/>
        <w:jc w:val="both"/>
        <w:rPr>
          <w:rFonts w:cs="Arial"/>
        </w:rPr>
      </w:pPr>
      <w:r>
        <w:rPr>
          <w:rFonts w:cs="Arial"/>
        </w:rPr>
        <w:t>5.2</w:t>
      </w:r>
      <w:r>
        <w:rPr>
          <w:rFonts w:cs="Arial"/>
        </w:rPr>
        <w:tab/>
        <w:t>The method and approach will be:</w:t>
      </w:r>
    </w:p>
    <w:p w:rsidR="00FD3C2F" w:rsidRDefault="00FD3C2F" w:rsidP="000D7879">
      <w:pPr>
        <w:spacing w:after="0" w:line="240" w:lineRule="auto"/>
        <w:ind w:left="720"/>
        <w:jc w:val="both"/>
        <w:rPr>
          <w:rFonts w:cs="Arial"/>
        </w:rPr>
      </w:pPr>
    </w:p>
    <w:p w:rsidR="00FD3C2F" w:rsidRDefault="00FD3C2F" w:rsidP="000D7879">
      <w:pPr>
        <w:numPr>
          <w:ilvl w:val="0"/>
          <w:numId w:val="41"/>
        </w:numPr>
        <w:spacing w:after="0" w:line="240" w:lineRule="auto"/>
        <w:ind w:left="993" w:hanging="284"/>
        <w:jc w:val="both"/>
        <w:rPr>
          <w:rFonts w:cs="Arial"/>
        </w:rPr>
      </w:pPr>
      <w:r>
        <w:rPr>
          <w:rFonts w:cs="Arial"/>
        </w:rPr>
        <w:t>To hold accurate records against each property or scheme within our database setting out the requirements for gas safety checks and servicing of appliances.</w:t>
      </w:r>
    </w:p>
    <w:p w:rsidR="00FD3C2F" w:rsidRDefault="00FD3C2F" w:rsidP="000D7879">
      <w:pPr>
        <w:numPr>
          <w:ilvl w:val="0"/>
          <w:numId w:val="41"/>
        </w:numPr>
        <w:autoSpaceDE w:val="0"/>
        <w:autoSpaceDN w:val="0"/>
        <w:adjustRightInd w:val="0"/>
        <w:spacing w:after="37" w:line="240" w:lineRule="auto"/>
        <w:ind w:left="993" w:hanging="284"/>
        <w:jc w:val="both"/>
        <w:rPr>
          <w:rFonts w:cs="Arial"/>
          <w:color w:val="000000"/>
          <w:lang w:eastAsia="en-GB"/>
        </w:rPr>
      </w:pPr>
      <w:r>
        <w:rPr>
          <w:rFonts w:cs="Arial"/>
          <w:color w:val="000000"/>
          <w:lang w:eastAsia="en-GB"/>
        </w:rPr>
        <w:t xml:space="preserve">Maintain a gas servicing monitoring system with agreed response times (in accordance with HCA standards) </w:t>
      </w:r>
    </w:p>
    <w:p w:rsidR="00FD3C2F" w:rsidRDefault="00FD3C2F" w:rsidP="000D7879">
      <w:pPr>
        <w:numPr>
          <w:ilvl w:val="0"/>
          <w:numId w:val="41"/>
        </w:numPr>
        <w:autoSpaceDE w:val="0"/>
        <w:autoSpaceDN w:val="0"/>
        <w:adjustRightInd w:val="0"/>
        <w:spacing w:after="37" w:line="240" w:lineRule="auto"/>
        <w:ind w:left="993" w:hanging="284"/>
        <w:jc w:val="both"/>
        <w:rPr>
          <w:rFonts w:cs="Arial"/>
          <w:color w:val="000000"/>
          <w:lang w:eastAsia="en-GB"/>
        </w:rPr>
      </w:pPr>
      <w:r>
        <w:rPr>
          <w:rFonts w:cs="Arial"/>
          <w:color w:val="000000"/>
          <w:lang w:eastAsia="en-GB"/>
        </w:rPr>
        <w:t xml:space="preserve">Maintain a ‘no access’ escalation procedure </w:t>
      </w:r>
    </w:p>
    <w:p w:rsidR="00FD3C2F" w:rsidRDefault="00FD3C2F" w:rsidP="000D7879">
      <w:pPr>
        <w:numPr>
          <w:ilvl w:val="0"/>
          <w:numId w:val="41"/>
        </w:numPr>
        <w:autoSpaceDE w:val="0"/>
        <w:autoSpaceDN w:val="0"/>
        <w:adjustRightInd w:val="0"/>
        <w:spacing w:after="37" w:line="240" w:lineRule="auto"/>
        <w:ind w:left="993" w:hanging="284"/>
        <w:jc w:val="both"/>
        <w:rPr>
          <w:rFonts w:cs="Arial"/>
          <w:color w:val="000000"/>
          <w:lang w:eastAsia="en-GB"/>
        </w:rPr>
      </w:pPr>
      <w:r>
        <w:rPr>
          <w:rFonts w:cs="Arial"/>
          <w:color w:val="000000"/>
          <w:lang w:eastAsia="en-GB"/>
        </w:rPr>
        <w:t xml:space="preserve">Use operatives who are suitably qualified and registered with the Health &amp; Safety Executive approved Gas Registration Scheme </w:t>
      </w:r>
    </w:p>
    <w:p w:rsidR="00FD3C2F" w:rsidRDefault="00FD3C2F" w:rsidP="000D7879">
      <w:pPr>
        <w:pStyle w:val="Default"/>
        <w:numPr>
          <w:ilvl w:val="0"/>
          <w:numId w:val="41"/>
        </w:numPr>
        <w:ind w:left="993" w:hanging="284"/>
        <w:jc w:val="both"/>
        <w:rPr>
          <w:rFonts w:ascii="Calibri" w:hAnsi="Calibri"/>
          <w:sz w:val="22"/>
          <w:szCs w:val="22"/>
        </w:rPr>
      </w:pPr>
      <w:r>
        <w:rPr>
          <w:rFonts w:ascii="Calibri" w:hAnsi="Calibri"/>
          <w:sz w:val="22"/>
          <w:szCs w:val="22"/>
        </w:rPr>
        <w:t>Maintain a robust internal and external audit system.</w:t>
      </w:r>
    </w:p>
    <w:p w:rsidR="00FD3C2F" w:rsidRDefault="00FD3C2F" w:rsidP="000D7879">
      <w:pPr>
        <w:numPr>
          <w:ilvl w:val="0"/>
          <w:numId w:val="41"/>
        </w:numPr>
        <w:autoSpaceDE w:val="0"/>
        <w:autoSpaceDN w:val="0"/>
        <w:adjustRightInd w:val="0"/>
        <w:spacing w:after="37" w:line="240" w:lineRule="auto"/>
        <w:ind w:left="993" w:hanging="284"/>
        <w:jc w:val="both"/>
        <w:rPr>
          <w:rFonts w:cs="Arial"/>
          <w:color w:val="000000"/>
          <w:lang w:eastAsia="en-GB"/>
        </w:rPr>
      </w:pPr>
      <w:r>
        <w:rPr>
          <w:rFonts w:cs="Arial"/>
          <w:color w:val="000000"/>
          <w:lang w:eastAsia="en-GB"/>
        </w:rPr>
        <w:t xml:space="preserve">Consider using best practice where appropriate and benchmarking with external organisations </w:t>
      </w:r>
    </w:p>
    <w:p w:rsidR="00FD3C2F" w:rsidRDefault="00FD3C2F" w:rsidP="000D7879">
      <w:pPr>
        <w:numPr>
          <w:ilvl w:val="0"/>
          <w:numId w:val="41"/>
        </w:numPr>
        <w:autoSpaceDE w:val="0"/>
        <w:autoSpaceDN w:val="0"/>
        <w:adjustRightInd w:val="0"/>
        <w:spacing w:after="37" w:line="240" w:lineRule="auto"/>
        <w:ind w:left="993" w:hanging="284"/>
        <w:jc w:val="both"/>
        <w:rPr>
          <w:rFonts w:cs="Arial"/>
          <w:color w:val="000000"/>
          <w:lang w:eastAsia="en-GB"/>
        </w:rPr>
      </w:pPr>
      <w:r>
        <w:rPr>
          <w:rFonts w:cs="Arial"/>
          <w:color w:val="000000"/>
          <w:lang w:eastAsia="en-GB"/>
        </w:rPr>
        <w:t xml:space="preserve">Seek continuous improvement in selection of products and methods of working </w:t>
      </w:r>
    </w:p>
    <w:p w:rsidR="00FD3C2F" w:rsidRDefault="00FD3C2F" w:rsidP="000D7879">
      <w:pPr>
        <w:numPr>
          <w:ilvl w:val="0"/>
          <w:numId w:val="41"/>
        </w:numPr>
        <w:autoSpaceDE w:val="0"/>
        <w:autoSpaceDN w:val="0"/>
        <w:adjustRightInd w:val="0"/>
        <w:spacing w:after="37" w:line="240" w:lineRule="auto"/>
        <w:ind w:left="993" w:hanging="284"/>
        <w:jc w:val="both"/>
        <w:rPr>
          <w:rFonts w:cs="Arial"/>
          <w:color w:val="000000"/>
          <w:lang w:eastAsia="en-GB"/>
        </w:rPr>
      </w:pPr>
      <w:r>
        <w:rPr>
          <w:rFonts w:cs="Arial"/>
          <w:color w:val="000000"/>
          <w:lang w:eastAsia="en-GB"/>
        </w:rPr>
        <w:t xml:space="preserve">Have </w:t>
      </w:r>
      <w:r w:rsidR="000D7879">
        <w:rPr>
          <w:rFonts w:cs="Arial"/>
          <w:color w:val="000000"/>
          <w:lang w:eastAsia="en-GB"/>
        </w:rPr>
        <w:t xml:space="preserve">realistic </w:t>
      </w:r>
      <w:r>
        <w:rPr>
          <w:rFonts w:cs="Arial"/>
          <w:color w:val="000000"/>
          <w:lang w:eastAsia="en-GB"/>
        </w:rPr>
        <w:t xml:space="preserve">performance targets in place, which are monitored monthly and reviewed every six months </w:t>
      </w:r>
    </w:p>
    <w:p w:rsidR="00FD3C2F" w:rsidRDefault="00FD3C2F" w:rsidP="000D7879">
      <w:pPr>
        <w:numPr>
          <w:ilvl w:val="0"/>
          <w:numId w:val="41"/>
        </w:numPr>
        <w:autoSpaceDE w:val="0"/>
        <w:autoSpaceDN w:val="0"/>
        <w:adjustRightInd w:val="0"/>
        <w:spacing w:after="37" w:line="240" w:lineRule="auto"/>
        <w:ind w:left="993" w:hanging="284"/>
        <w:jc w:val="both"/>
        <w:rPr>
          <w:rFonts w:cs="Arial"/>
          <w:color w:val="000000"/>
          <w:lang w:eastAsia="en-GB"/>
        </w:rPr>
      </w:pPr>
      <w:r>
        <w:rPr>
          <w:rFonts w:cs="Arial"/>
          <w:color w:val="000000"/>
          <w:lang w:eastAsia="en-GB"/>
        </w:rPr>
        <w:t xml:space="preserve">Provide regular information and guidance to customers on the importance of gas safety </w:t>
      </w:r>
    </w:p>
    <w:p w:rsidR="00FD3C2F" w:rsidRDefault="00FD3C2F" w:rsidP="000D7879">
      <w:pPr>
        <w:numPr>
          <w:ilvl w:val="0"/>
          <w:numId w:val="41"/>
        </w:numPr>
        <w:autoSpaceDE w:val="0"/>
        <w:autoSpaceDN w:val="0"/>
        <w:adjustRightInd w:val="0"/>
        <w:spacing w:after="37" w:line="240" w:lineRule="auto"/>
        <w:ind w:left="993" w:hanging="284"/>
        <w:jc w:val="both"/>
        <w:rPr>
          <w:rFonts w:cs="Arial"/>
          <w:color w:val="000000"/>
          <w:lang w:eastAsia="en-GB"/>
        </w:rPr>
      </w:pPr>
      <w:r>
        <w:rPr>
          <w:rFonts w:cs="Arial"/>
          <w:color w:val="000000"/>
          <w:lang w:eastAsia="en-GB"/>
        </w:rPr>
        <w:t xml:space="preserve">Implement new initiatives to improve the service, awareness of gas safety or other associated services, e.g. carbon monoxide detector installation </w:t>
      </w:r>
    </w:p>
    <w:p w:rsidR="00FD3C2F" w:rsidRDefault="00FD3C2F" w:rsidP="000D7879">
      <w:pPr>
        <w:numPr>
          <w:ilvl w:val="0"/>
          <w:numId w:val="41"/>
        </w:numPr>
        <w:autoSpaceDE w:val="0"/>
        <w:autoSpaceDN w:val="0"/>
        <w:adjustRightInd w:val="0"/>
        <w:spacing w:after="0" w:line="240" w:lineRule="auto"/>
        <w:ind w:left="993" w:hanging="284"/>
        <w:jc w:val="both"/>
        <w:rPr>
          <w:rFonts w:cs="Arial"/>
          <w:color w:val="000000"/>
          <w:lang w:eastAsia="en-GB"/>
        </w:rPr>
      </w:pPr>
      <w:r>
        <w:rPr>
          <w:rFonts w:cs="Arial"/>
          <w:color w:val="000000"/>
          <w:lang w:eastAsia="en-GB"/>
        </w:rPr>
        <w:t xml:space="preserve">Ensure effective communication and joint working across One Manchester in order to safeguard the organisation against any serious breach of the regulations. </w:t>
      </w:r>
    </w:p>
    <w:p w:rsidR="00FD3C2F" w:rsidRDefault="00FD3C2F" w:rsidP="000D7879">
      <w:pPr>
        <w:numPr>
          <w:ilvl w:val="0"/>
          <w:numId w:val="41"/>
        </w:numPr>
        <w:autoSpaceDE w:val="0"/>
        <w:autoSpaceDN w:val="0"/>
        <w:adjustRightInd w:val="0"/>
        <w:spacing w:after="0" w:line="240" w:lineRule="auto"/>
        <w:ind w:left="993" w:hanging="284"/>
        <w:jc w:val="both"/>
        <w:rPr>
          <w:rFonts w:cs="Arial"/>
          <w:color w:val="000000"/>
          <w:lang w:eastAsia="en-GB"/>
        </w:rPr>
      </w:pPr>
      <w:r>
        <w:rPr>
          <w:rFonts w:cs="Arial"/>
          <w:color w:val="000000"/>
          <w:lang w:eastAsia="en-GB"/>
        </w:rPr>
        <w:t xml:space="preserve">Will only be responsible for gas appliances that are owned by One Manchester, its subsidiaries or other premises that have been by agreed specific contracts. </w:t>
      </w:r>
    </w:p>
    <w:p w:rsidR="00FD3C2F" w:rsidRDefault="00FD3C2F" w:rsidP="000D7879">
      <w:pPr>
        <w:numPr>
          <w:ilvl w:val="0"/>
          <w:numId w:val="41"/>
        </w:numPr>
        <w:autoSpaceDE w:val="0"/>
        <w:autoSpaceDN w:val="0"/>
        <w:adjustRightInd w:val="0"/>
        <w:spacing w:after="0" w:line="240" w:lineRule="auto"/>
        <w:ind w:left="993" w:hanging="284"/>
        <w:jc w:val="both"/>
        <w:rPr>
          <w:rFonts w:cs="Arial"/>
          <w:color w:val="000000"/>
          <w:lang w:eastAsia="en-GB"/>
        </w:rPr>
      </w:pPr>
      <w:r>
        <w:rPr>
          <w:rFonts w:cs="Arial"/>
          <w:color w:val="000000"/>
          <w:lang w:eastAsia="en-GB"/>
        </w:rPr>
        <w:t>To carry out basic 6</w:t>
      </w:r>
      <w:r w:rsidR="000D7879">
        <w:rPr>
          <w:rFonts w:cs="Arial"/>
          <w:color w:val="000000"/>
          <w:lang w:eastAsia="en-GB"/>
        </w:rPr>
        <w:t>-</w:t>
      </w:r>
      <w:r>
        <w:rPr>
          <w:rFonts w:cs="Arial"/>
          <w:color w:val="000000"/>
          <w:lang w:eastAsia="en-GB"/>
        </w:rPr>
        <w:t xml:space="preserve"> point checks as per </w:t>
      </w:r>
      <w:r w:rsidR="000D7879">
        <w:rPr>
          <w:rFonts w:cs="Arial"/>
          <w:color w:val="000000"/>
          <w:lang w:eastAsia="en-GB"/>
        </w:rPr>
        <w:t>IGEM/G/11 the</w:t>
      </w:r>
      <w:r>
        <w:rPr>
          <w:rFonts w:cs="Arial"/>
          <w:color w:val="000000"/>
          <w:lang w:eastAsia="en-GB"/>
        </w:rPr>
        <w:t xml:space="preserve"> Gas Industry Unsafe Situations Procedure to tenant</w:t>
      </w:r>
      <w:r w:rsidR="000D7879">
        <w:rPr>
          <w:rFonts w:cs="Arial"/>
          <w:color w:val="000000"/>
          <w:lang w:eastAsia="en-GB"/>
        </w:rPr>
        <w:t>'</w:t>
      </w:r>
      <w:r>
        <w:rPr>
          <w:rFonts w:cs="Arial"/>
          <w:color w:val="000000"/>
          <w:lang w:eastAsia="en-GB"/>
        </w:rPr>
        <w:t xml:space="preserve">s own gas appliances such as cookers and fires but will not be responsible for carrying out any repairs, unless by separate agreement. However, in the event that it is apparent that there is a breach of gas safety regulations, fittings will be disconnected and the tenant informed of the action they must take. </w:t>
      </w:r>
    </w:p>
    <w:p w:rsidR="00FD3C2F" w:rsidRDefault="00FD3C2F" w:rsidP="000D7879">
      <w:pPr>
        <w:autoSpaceDE w:val="0"/>
        <w:autoSpaceDN w:val="0"/>
        <w:adjustRightInd w:val="0"/>
        <w:spacing w:after="0" w:line="240" w:lineRule="auto"/>
        <w:jc w:val="both"/>
        <w:rPr>
          <w:rFonts w:cs="Arial"/>
          <w:color w:val="000000"/>
          <w:lang w:eastAsia="en-GB"/>
        </w:rPr>
      </w:pPr>
    </w:p>
    <w:p w:rsidR="000D7879" w:rsidRDefault="000D7879" w:rsidP="000D7879">
      <w:pPr>
        <w:autoSpaceDE w:val="0"/>
        <w:autoSpaceDN w:val="0"/>
        <w:adjustRightInd w:val="0"/>
        <w:spacing w:after="0" w:line="240" w:lineRule="auto"/>
        <w:jc w:val="both"/>
        <w:rPr>
          <w:rFonts w:cs="Arial"/>
          <w:color w:val="000000"/>
          <w:lang w:eastAsia="en-GB"/>
        </w:rPr>
      </w:pPr>
    </w:p>
    <w:p w:rsidR="000D7879" w:rsidRDefault="000D7879" w:rsidP="000D7879">
      <w:pPr>
        <w:autoSpaceDE w:val="0"/>
        <w:autoSpaceDN w:val="0"/>
        <w:adjustRightInd w:val="0"/>
        <w:spacing w:after="0" w:line="240" w:lineRule="auto"/>
        <w:jc w:val="both"/>
        <w:rPr>
          <w:rFonts w:cs="Arial"/>
          <w:color w:val="000000"/>
          <w:lang w:eastAsia="en-GB"/>
        </w:rPr>
      </w:pPr>
    </w:p>
    <w:p w:rsidR="000D7879" w:rsidRDefault="000D7879" w:rsidP="000D7879">
      <w:pPr>
        <w:autoSpaceDE w:val="0"/>
        <w:autoSpaceDN w:val="0"/>
        <w:adjustRightInd w:val="0"/>
        <w:spacing w:after="0" w:line="240" w:lineRule="auto"/>
        <w:jc w:val="both"/>
        <w:rPr>
          <w:rFonts w:cs="Arial"/>
          <w:color w:val="000000"/>
          <w:lang w:eastAsia="en-GB"/>
        </w:rPr>
      </w:pPr>
    </w:p>
    <w:p w:rsidR="000D7879" w:rsidRDefault="000D7879" w:rsidP="000D7879">
      <w:pPr>
        <w:autoSpaceDE w:val="0"/>
        <w:autoSpaceDN w:val="0"/>
        <w:adjustRightInd w:val="0"/>
        <w:spacing w:after="0" w:line="240" w:lineRule="auto"/>
        <w:jc w:val="both"/>
        <w:rPr>
          <w:rFonts w:cs="Arial"/>
          <w:color w:val="000000"/>
          <w:lang w:eastAsia="en-GB"/>
        </w:rPr>
      </w:pPr>
    </w:p>
    <w:p w:rsidR="00FD3C2F" w:rsidRDefault="00FD3C2F" w:rsidP="000D7879">
      <w:pPr>
        <w:autoSpaceDE w:val="0"/>
        <w:autoSpaceDN w:val="0"/>
        <w:adjustRightInd w:val="0"/>
        <w:spacing w:after="0" w:line="240" w:lineRule="auto"/>
        <w:jc w:val="both"/>
        <w:rPr>
          <w:rFonts w:cs="Arial"/>
          <w:b/>
          <w:bCs/>
          <w:color w:val="000000"/>
          <w:lang w:eastAsia="en-GB"/>
        </w:rPr>
      </w:pPr>
      <w:r>
        <w:rPr>
          <w:rFonts w:cs="Arial"/>
          <w:b/>
          <w:bCs/>
          <w:color w:val="000000"/>
          <w:lang w:eastAsia="en-GB"/>
        </w:rPr>
        <w:t>6.0</w:t>
      </w:r>
      <w:r>
        <w:rPr>
          <w:rFonts w:cs="Arial"/>
          <w:b/>
          <w:bCs/>
          <w:color w:val="000000"/>
          <w:lang w:eastAsia="en-GB"/>
        </w:rPr>
        <w:tab/>
        <w:t xml:space="preserve">Commercial Appliances </w:t>
      </w:r>
    </w:p>
    <w:p w:rsidR="00FD3C2F" w:rsidRDefault="00FD3C2F" w:rsidP="000D7879">
      <w:pPr>
        <w:autoSpaceDE w:val="0"/>
        <w:autoSpaceDN w:val="0"/>
        <w:adjustRightInd w:val="0"/>
        <w:spacing w:after="0" w:line="240" w:lineRule="auto"/>
        <w:jc w:val="both"/>
        <w:rPr>
          <w:rFonts w:cs="Arial"/>
          <w:b/>
          <w:bCs/>
          <w:color w:val="000000"/>
          <w:lang w:eastAsia="en-GB"/>
        </w:rPr>
      </w:pPr>
    </w:p>
    <w:p w:rsidR="00FD3C2F" w:rsidRDefault="00FD3C2F" w:rsidP="000D7879">
      <w:pPr>
        <w:autoSpaceDE w:val="0"/>
        <w:autoSpaceDN w:val="0"/>
        <w:adjustRightInd w:val="0"/>
        <w:spacing w:after="0" w:line="240" w:lineRule="auto"/>
        <w:jc w:val="both"/>
        <w:rPr>
          <w:rFonts w:cs="Arial"/>
          <w:bCs/>
          <w:color w:val="000000"/>
          <w:lang w:eastAsia="en-GB"/>
        </w:rPr>
      </w:pPr>
      <w:r>
        <w:rPr>
          <w:rFonts w:cs="Arial"/>
          <w:bCs/>
          <w:color w:val="000000"/>
          <w:lang w:eastAsia="en-GB"/>
        </w:rPr>
        <w:t xml:space="preserve">6.1 </w:t>
      </w:r>
      <w:r>
        <w:rPr>
          <w:rFonts w:cs="Arial"/>
          <w:bCs/>
          <w:color w:val="000000"/>
          <w:lang w:eastAsia="en-GB"/>
        </w:rPr>
        <w:tab/>
        <w:t>In respect of commercial appliances the following policy will be adopted:</w:t>
      </w:r>
    </w:p>
    <w:p w:rsidR="00FD3C2F" w:rsidRDefault="00FD3C2F" w:rsidP="000D7879">
      <w:pPr>
        <w:autoSpaceDE w:val="0"/>
        <w:autoSpaceDN w:val="0"/>
        <w:adjustRightInd w:val="0"/>
        <w:spacing w:after="0" w:line="240" w:lineRule="auto"/>
        <w:jc w:val="both"/>
        <w:rPr>
          <w:rFonts w:cs="Arial"/>
          <w:color w:val="000000"/>
          <w:lang w:eastAsia="en-GB"/>
        </w:rPr>
      </w:pPr>
    </w:p>
    <w:p w:rsidR="00FD3C2F" w:rsidRDefault="00FD3C2F" w:rsidP="000D7879">
      <w:pPr>
        <w:numPr>
          <w:ilvl w:val="0"/>
          <w:numId w:val="42"/>
        </w:numPr>
        <w:autoSpaceDE w:val="0"/>
        <w:autoSpaceDN w:val="0"/>
        <w:adjustRightInd w:val="0"/>
        <w:spacing w:after="0" w:line="240" w:lineRule="auto"/>
        <w:jc w:val="both"/>
        <w:rPr>
          <w:rFonts w:cs="Arial"/>
          <w:color w:val="000000"/>
          <w:lang w:eastAsia="en-GB"/>
        </w:rPr>
      </w:pPr>
      <w:r>
        <w:rPr>
          <w:rFonts w:cs="Arial"/>
          <w:color w:val="000000"/>
          <w:lang w:eastAsia="en-GB"/>
        </w:rPr>
        <w:t xml:space="preserve">Commercial boilers are located in sheltered blocks, multi-storey blocks and offices and fall within the gas regulations. </w:t>
      </w:r>
    </w:p>
    <w:p w:rsidR="00FD3C2F" w:rsidRDefault="00FD3C2F" w:rsidP="000D7879">
      <w:pPr>
        <w:numPr>
          <w:ilvl w:val="0"/>
          <w:numId w:val="42"/>
        </w:numPr>
        <w:autoSpaceDE w:val="0"/>
        <w:autoSpaceDN w:val="0"/>
        <w:adjustRightInd w:val="0"/>
        <w:spacing w:after="0" w:line="240" w:lineRule="auto"/>
        <w:jc w:val="both"/>
        <w:rPr>
          <w:rFonts w:cs="Arial"/>
          <w:color w:val="000000"/>
          <w:lang w:eastAsia="en-GB"/>
        </w:rPr>
      </w:pPr>
      <w:r>
        <w:rPr>
          <w:rFonts w:cs="Arial"/>
          <w:color w:val="000000"/>
          <w:lang w:eastAsia="en-GB"/>
        </w:rPr>
        <w:t xml:space="preserve">Commercial boilers will be serviced and checked for safety at intervals of 6 and 12 months subject to age and condition of the appliances. </w:t>
      </w:r>
    </w:p>
    <w:p w:rsidR="00FD3C2F" w:rsidRDefault="00FD3C2F" w:rsidP="000D7879">
      <w:pPr>
        <w:numPr>
          <w:ilvl w:val="0"/>
          <w:numId w:val="42"/>
        </w:numPr>
        <w:autoSpaceDE w:val="0"/>
        <w:autoSpaceDN w:val="0"/>
        <w:adjustRightInd w:val="0"/>
        <w:spacing w:after="0" w:line="240" w:lineRule="auto"/>
        <w:jc w:val="both"/>
        <w:rPr>
          <w:rFonts w:cs="Arial"/>
          <w:color w:val="000000"/>
          <w:lang w:eastAsia="en-GB"/>
        </w:rPr>
      </w:pPr>
      <w:r>
        <w:rPr>
          <w:rFonts w:cs="Arial"/>
          <w:color w:val="000000"/>
          <w:lang w:eastAsia="en-GB"/>
        </w:rPr>
        <w:t xml:space="preserve">Gas systems in individual flats will be checked in line with the regulations applying to domestic properties. </w:t>
      </w:r>
    </w:p>
    <w:p w:rsidR="00FD3C2F" w:rsidRDefault="00FD3C2F" w:rsidP="000D7879">
      <w:pPr>
        <w:numPr>
          <w:ilvl w:val="0"/>
          <w:numId w:val="42"/>
        </w:numPr>
        <w:spacing w:after="0" w:line="240" w:lineRule="auto"/>
        <w:jc w:val="both"/>
        <w:rPr>
          <w:rFonts w:cs="Arial"/>
        </w:rPr>
      </w:pPr>
      <w:r>
        <w:rPr>
          <w:rFonts w:cs="Arial"/>
          <w:color w:val="000000"/>
          <w:lang w:eastAsia="en-GB"/>
        </w:rPr>
        <w:t>Where commercial gas tumble driers are located in sheltered or multi-storey blocks, servicing will be undertaken at intervals not exceeding 12 months.</w:t>
      </w:r>
    </w:p>
    <w:p w:rsidR="00FD3C2F" w:rsidRDefault="00FD3C2F" w:rsidP="000D7879">
      <w:pPr>
        <w:numPr>
          <w:ilvl w:val="0"/>
          <w:numId w:val="42"/>
        </w:numPr>
        <w:autoSpaceDE w:val="0"/>
        <w:autoSpaceDN w:val="0"/>
        <w:adjustRightInd w:val="0"/>
        <w:spacing w:after="0" w:line="240" w:lineRule="auto"/>
        <w:jc w:val="both"/>
        <w:rPr>
          <w:rFonts w:cs="Arial"/>
          <w:color w:val="000000"/>
          <w:lang w:eastAsia="en-GB"/>
        </w:rPr>
      </w:pPr>
      <w:r>
        <w:rPr>
          <w:rFonts w:cs="Arial"/>
          <w:color w:val="000000"/>
          <w:lang w:eastAsia="en-GB"/>
        </w:rPr>
        <w:t xml:space="preserve">Any other gas related equipment will be appropriately serviced and maintained. </w:t>
      </w:r>
    </w:p>
    <w:p w:rsidR="000D7879" w:rsidRDefault="000D7879" w:rsidP="000D7879">
      <w:pPr>
        <w:autoSpaceDE w:val="0"/>
        <w:autoSpaceDN w:val="0"/>
        <w:adjustRightInd w:val="0"/>
        <w:spacing w:after="0" w:line="240" w:lineRule="auto"/>
        <w:jc w:val="both"/>
        <w:rPr>
          <w:rFonts w:cs="Arial"/>
          <w:color w:val="000000"/>
          <w:lang w:eastAsia="en-GB"/>
        </w:rPr>
      </w:pPr>
    </w:p>
    <w:p w:rsidR="000D7879" w:rsidRPr="000D7879" w:rsidRDefault="000D7879" w:rsidP="000D7879">
      <w:pPr>
        <w:spacing w:after="0" w:line="240" w:lineRule="auto"/>
        <w:ind w:left="720" w:hanging="720"/>
        <w:jc w:val="both"/>
        <w:rPr>
          <w:rFonts w:asciiTheme="minorHAnsi" w:eastAsiaTheme="minorHAnsi" w:hAnsiTheme="minorHAnsi" w:cstheme="minorBidi"/>
          <w:b/>
          <w:lang w:eastAsia="en-GB"/>
        </w:rPr>
      </w:pPr>
      <w:r>
        <w:rPr>
          <w:rFonts w:asciiTheme="minorHAnsi" w:eastAsiaTheme="minorHAnsi" w:hAnsiTheme="minorHAnsi" w:cstheme="minorBidi"/>
          <w:b/>
          <w:lang w:eastAsia="en-GB"/>
        </w:rPr>
        <w:t>7</w:t>
      </w:r>
      <w:r w:rsidRPr="000D7879">
        <w:rPr>
          <w:rFonts w:asciiTheme="minorHAnsi" w:eastAsiaTheme="minorHAnsi" w:hAnsiTheme="minorHAnsi" w:cstheme="minorBidi"/>
          <w:b/>
          <w:lang w:eastAsia="en-GB"/>
        </w:rPr>
        <w:t xml:space="preserve">.0 </w:t>
      </w:r>
      <w:r>
        <w:rPr>
          <w:rFonts w:asciiTheme="minorHAnsi" w:eastAsiaTheme="minorHAnsi" w:hAnsiTheme="minorHAnsi" w:cstheme="minorBidi"/>
          <w:b/>
          <w:lang w:eastAsia="en-GB"/>
        </w:rPr>
        <w:tab/>
      </w:r>
      <w:r w:rsidR="00EC1476">
        <w:rPr>
          <w:rFonts w:asciiTheme="minorHAnsi" w:eastAsiaTheme="minorHAnsi" w:hAnsiTheme="minorHAnsi" w:cstheme="minorBidi"/>
          <w:b/>
          <w:lang w:eastAsia="en-GB"/>
        </w:rPr>
        <w:t xml:space="preserve">Equality </w:t>
      </w:r>
    </w:p>
    <w:p w:rsidR="000D7879" w:rsidRPr="000D7879" w:rsidRDefault="000D7879" w:rsidP="000D7879">
      <w:pPr>
        <w:spacing w:after="0" w:line="240" w:lineRule="auto"/>
        <w:ind w:left="720" w:hanging="720"/>
        <w:jc w:val="both"/>
        <w:rPr>
          <w:rFonts w:asciiTheme="minorHAnsi" w:eastAsiaTheme="minorHAnsi" w:hAnsiTheme="minorHAnsi" w:cstheme="minorBidi"/>
          <w:b/>
          <w:lang w:eastAsia="en-GB"/>
        </w:rPr>
      </w:pPr>
    </w:p>
    <w:p w:rsidR="000D7879" w:rsidRDefault="000D7879" w:rsidP="000D7879">
      <w:pPr>
        <w:spacing w:after="0" w:line="240" w:lineRule="auto"/>
        <w:ind w:left="720" w:hanging="720"/>
        <w:jc w:val="both"/>
        <w:rPr>
          <w:rFonts w:asciiTheme="minorHAnsi" w:eastAsiaTheme="minorHAnsi" w:hAnsiTheme="minorHAnsi" w:cstheme="minorBidi"/>
          <w:iCs/>
          <w:lang w:eastAsia="en-GB"/>
        </w:rPr>
      </w:pPr>
      <w:r>
        <w:rPr>
          <w:rFonts w:asciiTheme="minorHAnsi" w:eastAsiaTheme="minorHAnsi" w:hAnsiTheme="minorHAnsi" w:cstheme="minorBidi"/>
          <w:lang w:eastAsia="en-GB"/>
        </w:rPr>
        <w:t>7.1</w:t>
      </w:r>
      <w:r>
        <w:rPr>
          <w:rFonts w:asciiTheme="minorHAnsi" w:eastAsiaTheme="minorHAnsi" w:hAnsiTheme="minorHAnsi" w:cstheme="minorBidi"/>
          <w:lang w:eastAsia="en-GB"/>
        </w:rPr>
        <w:tab/>
      </w:r>
      <w:r w:rsidRPr="000D7879">
        <w:rPr>
          <w:rFonts w:asciiTheme="minorHAnsi" w:eastAsiaTheme="minorHAnsi" w:hAnsiTheme="minorHAnsi" w:cstheme="minorBidi"/>
          <w:lang w:eastAsia="en-GB"/>
        </w:rPr>
        <w:t xml:space="preserve">One Manchester </w:t>
      </w:r>
      <w:r w:rsidRPr="000D7879">
        <w:rPr>
          <w:rFonts w:asciiTheme="minorHAnsi" w:eastAsiaTheme="minorHAnsi" w:hAnsiTheme="minorHAnsi" w:cstheme="minorBidi"/>
          <w:iCs/>
          <w:lang w:eastAsia="en-GB"/>
        </w:rPr>
        <w:t>will ensure that this policy is applied fairly to all our customers.  We will not directly or</w:t>
      </w:r>
      <w:r>
        <w:rPr>
          <w:rFonts w:asciiTheme="minorHAnsi" w:eastAsiaTheme="minorHAnsi" w:hAnsiTheme="minorHAnsi" w:cstheme="minorBidi"/>
          <w:iCs/>
          <w:lang w:eastAsia="en-GB"/>
        </w:rPr>
        <w:t xml:space="preserve"> </w:t>
      </w:r>
      <w:r w:rsidRPr="000D7879">
        <w:rPr>
          <w:rFonts w:asciiTheme="minorHAnsi" w:eastAsiaTheme="minorHAnsi" w:hAnsiTheme="minorHAnsi" w:cstheme="minorBidi"/>
          <w:iCs/>
          <w:lang w:eastAsia="en-GB"/>
        </w:rPr>
        <w:t>indirectly discriminate against any person or group of people because of their race, religion, gender, marital</w:t>
      </w:r>
      <w:r>
        <w:rPr>
          <w:rFonts w:asciiTheme="minorHAnsi" w:eastAsiaTheme="minorHAnsi" w:hAnsiTheme="minorHAnsi" w:cstheme="minorBidi"/>
          <w:iCs/>
          <w:lang w:eastAsia="en-GB"/>
        </w:rPr>
        <w:t xml:space="preserve"> </w:t>
      </w:r>
      <w:r w:rsidRPr="000D7879">
        <w:rPr>
          <w:rFonts w:asciiTheme="minorHAnsi" w:eastAsiaTheme="minorHAnsi" w:hAnsiTheme="minorHAnsi" w:cstheme="minorBidi"/>
          <w:iCs/>
          <w:lang w:eastAsia="en-GB"/>
        </w:rPr>
        <w:t>status, sexual orientation, disability or other grounds set out in our Equality, Diversity and Inclusion Policy.</w:t>
      </w:r>
    </w:p>
    <w:p w:rsidR="000D7879" w:rsidRPr="000D7879" w:rsidRDefault="000D7879" w:rsidP="000D7879">
      <w:pPr>
        <w:spacing w:after="0" w:line="240" w:lineRule="auto"/>
        <w:ind w:left="720" w:hanging="720"/>
        <w:rPr>
          <w:rFonts w:asciiTheme="minorHAnsi" w:eastAsiaTheme="minorHAnsi" w:hAnsiTheme="minorHAnsi" w:cstheme="minorBidi"/>
          <w:iCs/>
          <w:lang w:eastAsia="en-GB"/>
        </w:rPr>
      </w:pPr>
    </w:p>
    <w:p w:rsidR="000D7879" w:rsidRPr="000D7879" w:rsidRDefault="000D7879" w:rsidP="000D7879">
      <w:pPr>
        <w:spacing w:after="0" w:line="240" w:lineRule="auto"/>
        <w:ind w:left="720" w:hanging="720"/>
        <w:rPr>
          <w:rFonts w:asciiTheme="minorHAnsi" w:eastAsiaTheme="minorHAnsi" w:hAnsiTheme="minorHAnsi" w:cstheme="minorBidi"/>
          <w:iCs/>
          <w:lang w:eastAsia="en-GB"/>
        </w:rPr>
      </w:pPr>
      <w:r>
        <w:rPr>
          <w:rFonts w:asciiTheme="minorHAnsi" w:eastAsiaTheme="minorHAnsi" w:hAnsiTheme="minorHAnsi" w:cstheme="minorBidi"/>
          <w:iCs/>
          <w:lang w:eastAsia="en-GB"/>
        </w:rPr>
        <w:t>7.2</w:t>
      </w:r>
      <w:r>
        <w:rPr>
          <w:rFonts w:asciiTheme="minorHAnsi" w:eastAsiaTheme="minorHAnsi" w:hAnsiTheme="minorHAnsi" w:cstheme="minorBidi"/>
          <w:iCs/>
          <w:lang w:eastAsia="en-GB"/>
        </w:rPr>
        <w:tab/>
      </w:r>
      <w:r w:rsidRPr="000D7879">
        <w:rPr>
          <w:rFonts w:asciiTheme="minorHAnsi" w:eastAsiaTheme="minorHAnsi" w:hAnsiTheme="minorHAnsi" w:cstheme="minorBidi"/>
          <w:iCs/>
          <w:lang w:eastAsia="en-GB"/>
        </w:rPr>
        <w:t>An Equality Impact Assessment has been carried out on this policy.</w:t>
      </w:r>
    </w:p>
    <w:p w:rsidR="00FD3C2F" w:rsidRDefault="00FD3C2F" w:rsidP="000D7879">
      <w:pPr>
        <w:autoSpaceDE w:val="0"/>
        <w:autoSpaceDN w:val="0"/>
        <w:adjustRightInd w:val="0"/>
        <w:spacing w:after="0" w:line="240" w:lineRule="auto"/>
        <w:ind w:left="360"/>
        <w:jc w:val="both"/>
        <w:rPr>
          <w:rFonts w:cs="Arial"/>
          <w:color w:val="000000"/>
          <w:lang w:eastAsia="en-GB"/>
        </w:rPr>
      </w:pPr>
    </w:p>
    <w:p w:rsidR="00FD3C2F" w:rsidRDefault="000D7879" w:rsidP="000D7879">
      <w:pPr>
        <w:spacing w:after="0" w:line="240" w:lineRule="auto"/>
        <w:jc w:val="both"/>
        <w:rPr>
          <w:rFonts w:cs="Arial"/>
          <w:b/>
        </w:rPr>
      </w:pPr>
      <w:r>
        <w:rPr>
          <w:rFonts w:cs="Arial"/>
          <w:b/>
        </w:rPr>
        <w:t>8</w:t>
      </w:r>
      <w:r w:rsidR="00FD3C2F">
        <w:rPr>
          <w:rFonts w:cs="Arial"/>
          <w:b/>
        </w:rPr>
        <w:t>.0</w:t>
      </w:r>
      <w:r w:rsidR="00FD3C2F">
        <w:rPr>
          <w:rFonts w:cs="Arial"/>
          <w:b/>
        </w:rPr>
        <w:tab/>
        <w:t>Responsibility</w:t>
      </w:r>
    </w:p>
    <w:p w:rsidR="00FD3C2F" w:rsidRDefault="00FD3C2F" w:rsidP="000D7879">
      <w:pPr>
        <w:spacing w:after="0" w:line="240" w:lineRule="auto"/>
        <w:jc w:val="both"/>
        <w:rPr>
          <w:rFonts w:cs="Arial"/>
          <w:b/>
        </w:rPr>
      </w:pPr>
    </w:p>
    <w:p w:rsidR="00FD3C2F" w:rsidRDefault="000D7879" w:rsidP="000D7879">
      <w:pPr>
        <w:spacing w:after="0" w:line="240" w:lineRule="auto"/>
        <w:jc w:val="both"/>
        <w:rPr>
          <w:rFonts w:cs="Arial"/>
          <w:bCs/>
        </w:rPr>
      </w:pPr>
      <w:r>
        <w:rPr>
          <w:rFonts w:cs="Arial"/>
        </w:rPr>
        <w:t>8</w:t>
      </w:r>
      <w:r w:rsidR="00FD3C2F">
        <w:rPr>
          <w:rFonts w:cs="Arial"/>
        </w:rPr>
        <w:t>.1</w:t>
      </w:r>
      <w:r w:rsidR="00FD3C2F">
        <w:rPr>
          <w:rFonts w:cs="Arial"/>
          <w:b/>
        </w:rPr>
        <w:tab/>
      </w:r>
      <w:r w:rsidR="00FD3C2F">
        <w:rPr>
          <w:rFonts w:cs="Arial"/>
          <w:bCs/>
        </w:rPr>
        <w:t>The Group Director of Assets and Growth has responsibility for reviewing the Policy.</w:t>
      </w:r>
    </w:p>
    <w:p w:rsidR="00FD3C2F" w:rsidRDefault="00FD3C2F" w:rsidP="000D7879">
      <w:pPr>
        <w:spacing w:after="0" w:line="240" w:lineRule="auto"/>
        <w:jc w:val="both"/>
        <w:rPr>
          <w:rFonts w:cs="Arial"/>
          <w:bCs/>
        </w:rPr>
      </w:pPr>
    </w:p>
    <w:p w:rsidR="00FD3C2F" w:rsidRDefault="000D7879" w:rsidP="000D7879">
      <w:pPr>
        <w:spacing w:after="0" w:line="240" w:lineRule="auto"/>
        <w:ind w:left="720" w:hanging="720"/>
        <w:jc w:val="both"/>
        <w:rPr>
          <w:rFonts w:cs="Arial"/>
          <w:bCs/>
        </w:rPr>
      </w:pPr>
      <w:r>
        <w:rPr>
          <w:rFonts w:cs="Arial"/>
          <w:bCs/>
        </w:rPr>
        <w:t>8</w:t>
      </w:r>
      <w:r w:rsidR="00FD3C2F">
        <w:rPr>
          <w:rFonts w:cs="Arial"/>
          <w:bCs/>
        </w:rPr>
        <w:t>.2</w:t>
      </w:r>
      <w:r w:rsidR="00FD3C2F">
        <w:rPr>
          <w:rFonts w:cs="Arial"/>
          <w:bCs/>
        </w:rPr>
        <w:tab/>
        <w:t>Responsibility for implementation of this policy is with the Group’s Head of Repairs and Maintenance.</w:t>
      </w:r>
    </w:p>
    <w:p w:rsidR="00FD3C2F" w:rsidRDefault="00FD3C2F" w:rsidP="000D7879">
      <w:pPr>
        <w:pStyle w:val="Header"/>
        <w:ind w:left="709" w:hanging="709"/>
        <w:jc w:val="both"/>
        <w:rPr>
          <w:rFonts w:cs="Arial"/>
          <w:bCs/>
        </w:rPr>
      </w:pPr>
    </w:p>
    <w:p w:rsidR="00FD3C2F" w:rsidRDefault="000D7879" w:rsidP="000D7879">
      <w:pPr>
        <w:spacing w:after="0" w:line="240" w:lineRule="auto"/>
        <w:jc w:val="both"/>
        <w:rPr>
          <w:rFonts w:cs="Arial"/>
          <w:b/>
        </w:rPr>
      </w:pPr>
      <w:r>
        <w:rPr>
          <w:rFonts w:cs="Arial"/>
          <w:b/>
        </w:rPr>
        <w:t>9</w:t>
      </w:r>
      <w:r w:rsidR="00FD3C2F">
        <w:rPr>
          <w:rFonts w:cs="Arial"/>
          <w:b/>
        </w:rPr>
        <w:t>.0</w:t>
      </w:r>
      <w:r w:rsidR="00FD3C2F">
        <w:rPr>
          <w:rFonts w:cs="Arial"/>
          <w:b/>
        </w:rPr>
        <w:tab/>
        <w:t>Monitoring, review and evaluation</w:t>
      </w:r>
    </w:p>
    <w:p w:rsidR="00FD3C2F" w:rsidRDefault="00FD3C2F" w:rsidP="000D7879">
      <w:pPr>
        <w:spacing w:after="0" w:line="240" w:lineRule="auto"/>
        <w:jc w:val="both"/>
        <w:rPr>
          <w:rFonts w:cs="Arial"/>
          <w:b/>
        </w:rPr>
      </w:pPr>
    </w:p>
    <w:p w:rsidR="00FD3C2F" w:rsidRDefault="000D7879" w:rsidP="000D7879">
      <w:pPr>
        <w:spacing w:after="0" w:line="240" w:lineRule="auto"/>
        <w:ind w:left="720" w:hanging="720"/>
        <w:jc w:val="both"/>
        <w:rPr>
          <w:rFonts w:cs="Arial"/>
        </w:rPr>
      </w:pPr>
      <w:r>
        <w:rPr>
          <w:rFonts w:cs="Arial"/>
        </w:rPr>
        <w:t>9</w:t>
      </w:r>
      <w:r w:rsidR="00FD3C2F">
        <w:rPr>
          <w:rFonts w:cs="Arial"/>
        </w:rPr>
        <w:t>.1</w:t>
      </w:r>
      <w:r w:rsidR="00FD3C2F">
        <w:rPr>
          <w:rFonts w:cs="Arial"/>
          <w:b/>
        </w:rPr>
        <w:tab/>
      </w:r>
      <w:r w:rsidR="00FD3C2F">
        <w:rPr>
          <w:rFonts w:cs="Arial"/>
        </w:rPr>
        <w:t xml:space="preserve">Operations Committee will monitor performance relating to gas safety and quarterly updates will be provided to Scrutiny Panel. </w:t>
      </w:r>
    </w:p>
    <w:p w:rsidR="00FD3C2F" w:rsidRDefault="00FD3C2F" w:rsidP="000D7879">
      <w:pPr>
        <w:spacing w:after="0" w:line="240" w:lineRule="auto"/>
        <w:ind w:left="720" w:hanging="720"/>
        <w:jc w:val="both"/>
        <w:rPr>
          <w:rFonts w:cs="Arial"/>
        </w:rPr>
      </w:pPr>
    </w:p>
    <w:p w:rsidR="00FD3C2F" w:rsidRDefault="000D7879" w:rsidP="000D7879">
      <w:pPr>
        <w:spacing w:after="0" w:line="240" w:lineRule="auto"/>
        <w:ind w:left="720" w:hanging="720"/>
        <w:jc w:val="both"/>
        <w:rPr>
          <w:rFonts w:cs="Arial"/>
          <w:color w:val="000000"/>
          <w:lang w:eastAsia="en-GB"/>
        </w:rPr>
      </w:pPr>
      <w:r>
        <w:rPr>
          <w:rFonts w:cs="Arial"/>
        </w:rPr>
        <w:t>9</w:t>
      </w:r>
      <w:r w:rsidR="00FD3C2F">
        <w:rPr>
          <w:rFonts w:cs="Arial"/>
        </w:rPr>
        <w:t>.2</w:t>
      </w:r>
      <w:r w:rsidR="00FD3C2F">
        <w:rPr>
          <w:rFonts w:cs="Arial"/>
        </w:rPr>
        <w:tab/>
      </w:r>
      <w:r w:rsidR="00FD3C2F">
        <w:rPr>
          <w:rFonts w:cs="Arial"/>
          <w:color w:val="000000"/>
          <w:lang w:eastAsia="en-GB"/>
        </w:rPr>
        <w:t xml:space="preserve">Complaints and customer feedback are also used as an additional means of monitoring and improving the quality of the service. </w:t>
      </w:r>
    </w:p>
    <w:p w:rsidR="00FD3C2F" w:rsidRDefault="00FD3C2F" w:rsidP="000D7879">
      <w:pPr>
        <w:spacing w:after="0" w:line="240" w:lineRule="auto"/>
        <w:ind w:left="720" w:hanging="720"/>
        <w:jc w:val="both"/>
        <w:rPr>
          <w:rFonts w:cs="Arial"/>
        </w:rPr>
      </w:pPr>
    </w:p>
    <w:p w:rsidR="00FD3C2F" w:rsidRDefault="000D7879" w:rsidP="000D7879">
      <w:pPr>
        <w:spacing w:after="0" w:line="240" w:lineRule="auto"/>
        <w:ind w:left="720" w:hanging="720"/>
        <w:jc w:val="both"/>
        <w:rPr>
          <w:rFonts w:cs="Arial"/>
        </w:rPr>
      </w:pPr>
      <w:r>
        <w:rPr>
          <w:rFonts w:cs="Arial"/>
        </w:rPr>
        <w:t>9</w:t>
      </w:r>
      <w:r w:rsidR="00FD3C2F">
        <w:rPr>
          <w:rFonts w:cs="Arial"/>
        </w:rPr>
        <w:t>.3</w:t>
      </w:r>
      <w:r w:rsidR="00FD3C2F">
        <w:rPr>
          <w:rFonts w:cs="Arial"/>
        </w:rPr>
        <w:tab/>
        <w:t>This policy will be reconsidered against any legislative changes annually and reviewed every three years.</w:t>
      </w:r>
    </w:p>
    <w:p w:rsidR="00832408" w:rsidRDefault="00832408" w:rsidP="000D7879">
      <w:pPr>
        <w:spacing w:after="0" w:line="240" w:lineRule="auto"/>
        <w:ind w:left="720" w:hanging="720"/>
        <w:jc w:val="both"/>
        <w:rPr>
          <w:rFonts w:cs="Arial"/>
        </w:rPr>
      </w:pPr>
    </w:p>
    <w:p w:rsidR="00832408" w:rsidRPr="00832408" w:rsidRDefault="00832408" w:rsidP="000D7879">
      <w:pPr>
        <w:spacing w:after="0" w:line="240" w:lineRule="auto"/>
        <w:ind w:left="720" w:hanging="720"/>
        <w:jc w:val="both"/>
        <w:rPr>
          <w:rFonts w:cs="Arial"/>
          <w:b/>
        </w:rPr>
      </w:pPr>
      <w:r w:rsidRPr="00832408">
        <w:rPr>
          <w:rFonts w:cs="Arial"/>
          <w:b/>
        </w:rPr>
        <w:t>10.0</w:t>
      </w:r>
      <w:r w:rsidRPr="00832408">
        <w:rPr>
          <w:rFonts w:cs="Arial"/>
          <w:b/>
        </w:rPr>
        <w:tab/>
        <w:t>Legislation</w:t>
      </w:r>
      <w:r>
        <w:rPr>
          <w:rFonts w:cs="Arial"/>
        </w:rPr>
        <w:t xml:space="preserve"> (in addition to 2.1)</w:t>
      </w:r>
      <w:r>
        <w:rPr>
          <w:rFonts w:cs="Arial"/>
        </w:rPr>
        <w:tab/>
      </w:r>
      <w:r>
        <w:rPr>
          <w:rFonts w:cs="Arial"/>
        </w:rPr>
        <w:tab/>
      </w:r>
      <w:r>
        <w:rPr>
          <w:rFonts w:cs="Arial"/>
        </w:rPr>
        <w:tab/>
      </w:r>
      <w:r w:rsidRPr="00832408">
        <w:rPr>
          <w:rFonts w:cs="Arial"/>
          <w:b/>
        </w:rPr>
        <w:t>11.0</w:t>
      </w:r>
      <w:r w:rsidRPr="00832408">
        <w:rPr>
          <w:rFonts w:cs="Arial"/>
          <w:b/>
        </w:rPr>
        <w:tab/>
        <w:t>Associated Policies</w:t>
      </w:r>
    </w:p>
    <w:p w:rsidR="00832408" w:rsidRPr="00832408" w:rsidRDefault="00832408" w:rsidP="000D7879">
      <w:pPr>
        <w:spacing w:after="0" w:line="240" w:lineRule="auto"/>
        <w:ind w:left="720" w:hanging="720"/>
        <w:jc w:val="both"/>
        <w:rPr>
          <w:rFonts w:cs="Arial"/>
          <w:b/>
        </w:rPr>
      </w:pPr>
    </w:p>
    <w:p w:rsidR="00832408" w:rsidRDefault="00832408" w:rsidP="000D7879">
      <w:pPr>
        <w:spacing w:after="0" w:line="240" w:lineRule="auto"/>
        <w:ind w:left="720" w:hanging="720"/>
        <w:jc w:val="both"/>
        <w:rPr>
          <w:rFonts w:cs="Arial"/>
        </w:rPr>
      </w:pPr>
      <w:r>
        <w:rPr>
          <w:rFonts w:cs="Arial"/>
        </w:rPr>
        <w:tab/>
        <w:t>Equality Act 2010</w:t>
      </w:r>
      <w:r>
        <w:rPr>
          <w:rFonts w:cs="Arial"/>
        </w:rPr>
        <w:tab/>
      </w:r>
      <w:r>
        <w:rPr>
          <w:rFonts w:cs="Arial"/>
        </w:rPr>
        <w:tab/>
      </w:r>
      <w:r>
        <w:rPr>
          <w:rFonts w:cs="Arial"/>
        </w:rPr>
        <w:tab/>
      </w:r>
      <w:r>
        <w:rPr>
          <w:rFonts w:cs="Arial"/>
        </w:rPr>
        <w:tab/>
      </w:r>
      <w:r>
        <w:rPr>
          <w:rFonts w:cs="Arial"/>
        </w:rPr>
        <w:tab/>
        <w:t>Gas servicing procedure</w:t>
      </w:r>
    </w:p>
    <w:p w:rsidR="00832408" w:rsidRDefault="00832408" w:rsidP="000D7879">
      <w:pPr>
        <w:spacing w:after="0" w:line="240" w:lineRule="auto"/>
        <w:ind w:left="720" w:hanging="720"/>
        <w:jc w:val="both"/>
        <w:rPr>
          <w:rFonts w:cs="Arial"/>
        </w:rPr>
      </w:pPr>
      <w:r>
        <w:rPr>
          <w:rFonts w:cs="Arial"/>
        </w:rPr>
        <w:tab/>
        <w:t>General Data Protection Regulations 2016</w:t>
      </w:r>
      <w:r>
        <w:rPr>
          <w:rFonts w:cs="Arial"/>
        </w:rPr>
        <w:tab/>
      </w:r>
      <w:r>
        <w:rPr>
          <w:rFonts w:cs="Arial"/>
        </w:rPr>
        <w:tab/>
        <w:t>Repairs Policy</w:t>
      </w:r>
    </w:p>
    <w:p w:rsidR="00832408" w:rsidRDefault="00832408" w:rsidP="000D7879">
      <w:pPr>
        <w:spacing w:after="0" w:line="240" w:lineRule="auto"/>
        <w:ind w:left="720" w:hanging="720"/>
        <w:jc w:val="both"/>
        <w:rPr>
          <w:rFonts w:cs="Arial"/>
        </w:rPr>
      </w:pPr>
      <w:r>
        <w:rPr>
          <w:rFonts w:cs="Arial"/>
        </w:rPr>
        <w:tab/>
        <w:t>Landlord and Tenant Act 1985</w:t>
      </w:r>
      <w:r>
        <w:rPr>
          <w:rFonts w:cs="Arial"/>
        </w:rPr>
        <w:tab/>
      </w:r>
      <w:r>
        <w:rPr>
          <w:rFonts w:cs="Arial"/>
        </w:rPr>
        <w:tab/>
      </w:r>
      <w:r>
        <w:rPr>
          <w:rFonts w:cs="Arial"/>
        </w:rPr>
        <w:tab/>
      </w:r>
      <w:r>
        <w:rPr>
          <w:rFonts w:cs="Arial"/>
        </w:rPr>
        <w:tab/>
        <w:t>Equality, Diversity and Inclusion Policy</w:t>
      </w:r>
    </w:p>
    <w:p w:rsidR="00FD3C2F" w:rsidRDefault="00832408" w:rsidP="000D7879">
      <w:pPr>
        <w:spacing w:after="0" w:line="240" w:lineRule="auto"/>
        <w:ind w:left="720" w:hanging="720"/>
        <w:jc w:val="both"/>
        <w:rPr>
          <w:rFonts w:cs="Arial"/>
        </w:rPr>
      </w:pPr>
      <w:r>
        <w:rPr>
          <w:rFonts w:cs="Arial"/>
        </w:rPr>
        <w:tab/>
      </w:r>
      <w:r w:rsidR="00FA403C">
        <w:rPr>
          <w:rFonts w:cs="Arial"/>
        </w:rPr>
        <w:t>Governance and Financial Viability Standard</w:t>
      </w:r>
      <w:r>
        <w:rPr>
          <w:rFonts w:cs="Arial"/>
        </w:rPr>
        <w:tab/>
      </w:r>
      <w:r>
        <w:rPr>
          <w:rFonts w:cs="Arial"/>
        </w:rPr>
        <w:tab/>
        <w:t>Adults at Risk of Harm Policy</w:t>
      </w:r>
    </w:p>
    <w:p w:rsidR="001E59D3" w:rsidRDefault="00FA403C" w:rsidP="000D7879">
      <w:pPr>
        <w:spacing w:after="0" w:line="240" w:lineRule="auto"/>
        <w:ind w:left="720" w:hanging="720"/>
        <w:jc w:val="both"/>
        <w:rPr>
          <w:rFonts w:cs="Arial"/>
        </w:rPr>
      </w:pPr>
      <w:r>
        <w:rPr>
          <w:rFonts w:cs="Arial"/>
        </w:rPr>
        <w:tab/>
        <w:t>Tenant Involvement and Empowerment Standard</w:t>
      </w:r>
    </w:p>
    <w:p w:rsidR="00FA403C" w:rsidRDefault="00FA403C" w:rsidP="000D7879">
      <w:pPr>
        <w:spacing w:after="0" w:line="240" w:lineRule="auto"/>
        <w:ind w:left="720" w:hanging="720"/>
        <w:jc w:val="both"/>
        <w:rPr>
          <w:rFonts w:cs="Arial"/>
        </w:rPr>
      </w:pPr>
      <w:r>
        <w:rPr>
          <w:rFonts w:cs="Arial"/>
        </w:rPr>
        <w:tab/>
        <w:t>Home Standard</w:t>
      </w:r>
    </w:p>
    <w:sectPr w:rsidR="00FA403C" w:rsidSect="00BB24FF">
      <w:headerReference w:type="even" r:id="rId11"/>
      <w:headerReference w:type="default" r:id="rId12"/>
      <w:footerReference w:type="default" r:id="rId13"/>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7B" w:rsidRDefault="0021627B" w:rsidP="001E7AD1">
      <w:pPr>
        <w:spacing w:after="0" w:line="240" w:lineRule="auto"/>
      </w:pPr>
      <w:r>
        <w:separator/>
      </w:r>
    </w:p>
  </w:endnote>
  <w:endnote w:type="continuationSeparator" w:id="0">
    <w:p w:rsidR="0021627B" w:rsidRDefault="0021627B" w:rsidP="001E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7620"/>
      <w:docPartObj>
        <w:docPartGallery w:val="Page Numbers (Top of Page)"/>
        <w:docPartUnique/>
      </w:docPartObj>
    </w:sdtPr>
    <w:sdtEndPr/>
    <w:sdtContent>
      <w:p w:rsidR="00953BAC" w:rsidRDefault="00953BAC" w:rsidP="00526FB8">
        <w:pPr>
          <w:pStyle w:val="Footer"/>
          <w:rPr>
            <w:sz w:val="20"/>
            <w:szCs w:val="20"/>
          </w:rPr>
        </w:pPr>
        <w:r>
          <w:rPr>
            <w:sz w:val="20"/>
            <w:szCs w:val="20"/>
          </w:rPr>
          <w:t>Version</w:t>
        </w:r>
        <w:r w:rsidR="00781038">
          <w:rPr>
            <w:sz w:val="20"/>
            <w:szCs w:val="20"/>
          </w:rPr>
          <w:t xml:space="preserve"> 3</w:t>
        </w:r>
        <w:r>
          <w:rPr>
            <w:sz w:val="20"/>
            <w:szCs w:val="20"/>
          </w:rPr>
          <w:t>:</w:t>
        </w:r>
        <w:r w:rsidR="00FD3C2F">
          <w:rPr>
            <w:sz w:val="20"/>
            <w:szCs w:val="20"/>
          </w:rPr>
          <w:t xml:space="preserve"> </w:t>
        </w:r>
        <w:r w:rsidR="00D734D5">
          <w:rPr>
            <w:sz w:val="20"/>
            <w:szCs w:val="20"/>
          </w:rPr>
          <w:t>June 2018</w:t>
        </w:r>
        <w:r w:rsidR="00FD3C2F">
          <w:rPr>
            <w:sz w:val="20"/>
            <w:szCs w:val="20"/>
          </w:rPr>
          <w:t xml:space="preserve">          </w:t>
        </w:r>
        <w:r w:rsidRPr="00622AC1">
          <w:rPr>
            <w:sz w:val="20"/>
            <w:szCs w:val="20"/>
          </w:rPr>
          <w:t>Approve</w:t>
        </w:r>
        <w:r>
          <w:rPr>
            <w:sz w:val="20"/>
            <w:szCs w:val="20"/>
          </w:rPr>
          <w:t>d by:</w:t>
        </w:r>
        <w:r w:rsidR="00FD3C2F">
          <w:rPr>
            <w:sz w:val="20"/>
            <w:szCs w:val="20"/>
          </w:rPr>
          <w:t xml:space="preserve">   </w:t>
        </w:r>
        <w:r w:rsidR="00CA29D7">
          <w:rPr>
            <w:sz w:val="20"/>
            <w:szCs w:val="20"/>
          </w:rPr>
          <w:t xml:space="preserve"> Operations Committee 8/8/18</w:t>
        </w:r>
        <w:r w:rsidR="00FD3C2F">
          <w:rPr>
            <w:sz w:val="20"/>
            <w:szCs w:val="20"/>
          </w:rPr>
          <w:t xml:space="preserve">   </w:t>
        </w:r>
        <w:r>
          <w:rPr>
            <w:sz w:val="20"/>
            <w:szCs w:val="20"/>
          </w:rPr>
          <w:tab/>
          <w:t xml:space="preserve">Department: </w:t>
        </w:r>
        <w:r w:rsidR="00FD3C2F">
          <w:rPr>
            <w:sz w:val="20"/>
            <w:szCs w:val="20"/>
          </w:rPr>
          <w:t>Assets and Growth</w:t>
        </w:r>
      </w:p>
      <w:p w:rsidR="00953BAC" w:rsidRDefault="00953BAC">
        <w:pPr>
          <w:pStyle w:val="Footer"/>
        </w:pPr>
        <w:r>
          <w:rPr>
            <w:sz w:val="20"/>
            <w:szCs w:val="20"/>
          </w:rPr>
          <w:t xml:space="preserve">Review: </w:t>
        </w:r>
        <w:r w:rsidR="00781038">
          <w:rPr>
            <w:sz w:val="20"/>
            <w:szCs w:val="20"/>
          </w:rPr>
          <w:t xml:space="preserve">    </w:t>
        </w:r>
        <w:r w:rsidR="00D734D5">
          <w:rPr>
            <w:sz w:val="20"/>
            <w:szCs w:val="20"/>
          </w:rPr>
          <w:t>June 2021</w:t>
        </w:r>
        <w:r>
          <w:rPr>
            <w:sz w:val="20"/>
            <w:szCs w:val="20"/>
          </w:rPr>
          <w:tab/>
        </w:r>
        <w:r>
          <w:rPr>
            <w:sz w:val="20"/>
            <w:szCs w:val="20"/>
          </w:rPr>
          <w:tab/>
        </w:r>
        <w:r w:rsidRPr="00622AC1">
          <w:rPr>
            <w:sz w:val="20"/>
            <w:szCs w:val="20"/>
          </w:rPr>
          <w:t xml:space="preserve"> Page </w:t>
        </w:r>
        <w:r w:rsidRPr="00622AC1">
          <w:rPr>
            <w:bCs/>
            <w:sz w:val="20"/>
            <w:szCs w:val="20"/>
          </w:rPr>
          <w:fldChar w:fldCharType="begin"/>
        </w:r>
        <w:r w:rsidRPr="00622AC1">
          <w:rPr>
            <w:bCs/>
            <w:sz w:val="20"/>
            <w:szCs w:val="20"/>
          </w:rPr>
          <w:instrText xml:space="preserve"> PAGE </w:instrText>
        </w:r>
        <w:r w:rsidRPr="00622AC1">
          <w:rPr>
            <w:bCs/>
            <w:sz w:val="20"/>
            <w:szCs w:val="20"/>
          </w:rPr>
          <w:fldChar w:fldCharType="separate"/>
        </w:r>
        <w:r w:rsidR="00497A67">
          <w:rPr>
            <w:bCs/>
            <w:noProof/>
            <w:sz w:val="20"/>
            <w:szCs w:val="20"/>
          </w:rPr>
          <w:t>3</w:t>
        </w:r>
        <w:r w:rsidRPr="00622AC1">
          <w:rPr>
            <w:bCs/>
            <w:sz w:val="20"/>
            <w:szCs w:val="20"/>
          </w:rPr>
          <w:fldChar w:fldCharType="end"/>
        </w:r>
        <w:r w:rsidRPr="00622AC1">
          <w:rPr>
            <w:sz w:val="20"/>
            <w:szCs w:val="20"/>
          </w:rPr>
          <w:t xml:space="preserve"> of </w:t>
        </w:r>
        <w:r w:rsidRPr="00622AC1">
          <w:rPr>
            <w:bCs/>
            <w:sz w:val="20"/>
            <w:szCs w:val="20"/>
          </w:rPr>
          <w:fldChar w:fldCharType="begin"/>
        </w:r>
        <w:r w:rsidRPr="00622AC1">
          <w:rPr>
            <w:bCs/>
            <w:sz w:val="20"/>
            <w:szCs w:val="20"/>
          </w:rPr>
          <w:instrText xml:space="preserve"> NUMPAGES  </w:instrText>
        </w:r>
        <w:r w:rsidRPr="00622AC1">
          <w:rPr>
            <w:bCs/>
            <w:sz w:val="20"/>
            <w:szCs w:val="20"/>
          </w:rPr>
          <w:fldChar w:fldCharType="separate"/>
        </w:r>
        <w:r w:rsidR="00497A67">
          <w:rPr>
            <w:bCs/>
            <w:noProof/>
            <w:sz w:val="20"/>
            <w:szCs w:val="20"/>
          </w:rPr>
          <w:t>3</w:t>
        </w:r>
        <w:r w:rsidRPr="00622AC1">
          <w:rPr>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7B" w:rsidRDefault="0021627B" w:rsidP="001E7AD1">
      <w:pPr>
        <w:spacing w:after="0" w:line="240" w:lineRule="auto"/>
      </w:pPr>
      <w:r>
        <w:separator/>
      </w:r>
    </w:p>
  </w:footnote>
  <w:footnote w:type="continuationSeparator" w:id="0">
    <w:p w:rsidR="0021627B" w:rsidRDefault="0021627B" w:rsidP="001E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79" w:rsidRDefault="00497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6.45pt;height:121.35pt;rotation:315;z-index:-251658752;mso-position-horizontal:center;mso-position-horizontal-relative:margin;mso-position-vertical:center;mso-position-vertical-relative:margin" o:allowincell="f" fillcolor="silver" stroked="f">
          <v:fill opacity=".5"/>
          <v:textpath style="font-family:&quot;Calibri&quot;;font-size:1pt" string="FINAL DRAFT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AC" w:rsidRPr="00695BE0" w:rsidRDefault="00FD3C2F" w:rsidP="00EB0D3B">
    <w:pPr>
      <w:pStyle w:val="Header"/>
      <w:rPr>
        <w:b/>
        <w:sz w:val="28"/>
        <w:szCs w:val="28"/>
      </w:rPr>
    </w:pPr>
    <w:r>
      <w:rPr>
        <w:b/>
        <w:sz w:val="28"/>
        <w:szCs w:val="28"/>
      </w:rPr>
      <w:t>Gas Safety Policy</w:t>
    </w:r>
    <w:r w:rsidR="00953BAC" w:rsidRPr="00695BE0">
      <w:rPr>
        <w:b/>
        <w:sz w:val="28"/>
        <w:szCs w:val="28"/>
      </w:rPr>
      <w:tab/>
    </w:r>
    <w:r w:rsidR="009D132D">
      <w:rPr>
        <w:b/>
        <w:sz w:val="28"/>
        <w:szCs w:val="28"/>
      </w:rPr>
      <w:tab/>
    </w:r>
    <w:r w:rsidR="009D132D">
      <w:rPr>
        <w:noProof/>
        <w:lang w:eastAsia="en-GB"/>
      </w:rPr>
      <w:drawing>
        <wp:inline distT="0" distB="0" distL="0" distR="0" wp14:anchorId="115BFB71" wp14:editId="10C9D6C6">
          <wp:extent cx="1933575" cy="590550"/>
          <wp:effectExtent l="0" t="0" r="9525" b="0"/>
          <wp:docPr id="4" name="Picture 23" descr="cid:image001.jpg@01D20AB3.89E3FF10"/>
          <wp:cNvGraphicFramePr/>
          <a:graphic xmlns:a="http://schemas.openxmlformats.org/drawingml/2006/main">
            <a:graphicData uri="http://schemas.openxmlformats.org/drawingml/2006/picture">
              <pic:pic xmlns:pic="http://schemas.openxmlformats.org/drawingml/2006/picture">
                <pic:nvPicPr>
                  <pic:cNvPr id="1" name="Picture 23" descr="cid:image001.jpg@01D20AB3.89E3FF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B3"/>
    <w:multiLevelType w:val="hybridMultilevel"/>
    <w:tmpl w:val="268E6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3D049F"/>
    <w:multiLevelType w:val="multilevel"/>
    <w:tmpl w:val="BCDA6B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9D279B0"/>
    <w:multiLevelType w:val="hybridMultilevel"/>
    <w:tmpl w:val="7A0A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6E5357"/>
    <w:multiLevelType w:val="hybridMultilevel"/>
    <w:tmpl w:val="CDA25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874DF"/>
    <w:multiLevelType w:val="hybridMultilevel"/>
    <w:tmpl w:val="CE8C6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56308B"/>
    <w:multiLevelType w:val="hybridMultilevel"/>
    <w:tmpl w:val="620000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2BE250F"/>
    <w:multiLevelType w:val="hybridMultilevel"/>
    <w:tmpl w:val="8C341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F562D2"/>
    <w:multiLevelType w:val="hybridMultilevel"/>
    <w:tmpl w:val="B2F2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ED5C03"/>
    <w:multiLevelType w:val="hybridMultilevel"/>
    <w:tmpl w:val="4464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33090"/>
    <w:multiLevelType w:val="hybridMultilevel"/>
    <w:tmpl w:val="926A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05652D"/>
    <w:multiLevelType w:val="hybridMultilevel"/>
    <w:tmpl w:val="D0D05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B0F392C"/>
    <w:multiLevelType w:val="hybridMultilevel"/>
    <w:tmpl w:val="0106A4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C7153AE"/>
    <w:multiLevelType w:val="hybridMultilevel"/>
    <w:tmpl w:val="296682A0"/>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1D796130"/>
    <w:multiLevelType w:val="multilevel"/>
    <w:tmpl w:val="565A2A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DBD013D"/>
    <w:multiLevelType w:val="hybridMultilevel"/>
    <w:tmpl w:val="9F7CF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0760683"/>
    <w:multiLevelType w:val="hybridMultilevel"/>
    <w:tmpl w:val="21F2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6247B2"/>
    <w:multiLevelType w:val="hybridMultilevel"/>
    <w:tmpl w:val="63729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3703508"/>
    <w:multiLevelType w:val="hybridMultilevel"/>
    <w:tmpl w:val="3E0A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2B4E84"/>
    <w:multiLevelType w:val="hybridMultilevel"/>
    <w:tmpl w:val="E3E6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E605D4"/>
    <w:multiLevelType w:val="multilevel"/>
    <w:tmpl w:val="6C02EF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7B57CED"/>
    <w:multiLevelType w:val="hybridMultilevel"/>
    <w:tmpl w:val="AF1C57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2C2258FE"/>
    <w:multiLevelType w:val="hybridMultilevel"/>
    <w:tmpl w:val="860E4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1AF3D5F"/>
    <w:multiLevelType w:val="multilevel"/>
    <w:tmpl w:val="59685A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CC2DDD"/>
    <w:multiLevelType w:val="hybridMultilevel"/>
    <w:tmpl w:val="71D685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nsid w:val="361E53DF"/>
    <w:multiLevelType w:val="multilevel"/>
    <w:tmpl w:val="CE06592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B1B4A8A"/>
    <w:multiLevelType w:val="hybridMultilevel"/>
    <w:tmpl w:val="CEFE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1906728"/>
    <w:multiLevelType w:val="hybridMultilevel"/>
    <w:tmpl w:val="4C48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1C3FEF"/>
    <w:multiLevelType w:val="hybridMultilevel"/>
    <w:tmpl w:val="10BEB4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B512EBA"/>
    <w:multiLevelType w:val="hybridMultilevel"/>
    <w:tmpl w:val="A8126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CF225FD"/>
    <w:multiLevelType w:val="hybridMultilevel"/>
    <w:tmpl w:val="3740D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F5A7258"/>
    <w:multiLevelType w:val="hybridMultilevel"/>
    <w:tmpl w:val="B2D05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3552AC1"/>
    <w:multiLevelType w:val="hybridMultilevel"/>
    <w:tmpl w:val="C9AEC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B9C431D"/>
    <w:multiLevelType w:val="hybridMultilevel"/>
    <w:tmpl w:val="C8FE5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C6605EC"/>
    <w:multiLevelType w:val="hybridMultilevel"/>
    <w:tmpl w:val="CEB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63E2A"/>
    <w:multiLevelType w:val="hybridMultilevel"/>
    <w:tmpl w:val="FF0647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nsid w:val="696D53BA"/>
    <w:multiLevelType w:val="hybridMultilevel"/>
    <w:tmpl w:val="B4E2F7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8506FD7"/>
    <w:multiLevelType w:val="hybridMultilevel"/>
    <w:tmpl w:val="D450B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B0D7CB9"/>
    <w:multiLevelType w:val="hybridMultilevel"/>
    <w:tmpl w:val="0EBCC1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D032918"/>
    <w:multiLevelType w:val="multilevel"/>
    <w:tmpl w:val="60BA1DD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9">
    <w:nsid w:val="7E0B3561"/>
    <w:multiLevelType w:val="hybridMultilevel"/>
    <w:tmpl w:val="09904C1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0">
    <w:nsid w:val="7F41393A"/>
    <w:multiLevelType w:val="hybridMultilevel"/>
    <w:tmpl w:val="415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4E3970"/>
    <w:multiLevelType w:val="hybridMultilevel"/>
    <w:tmpl w:val="8970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41"/>
  </w:num>
  <w:num w:numId="4">
    <w:abstractNumId w:val="29"/>
  </w:num>
  <w:num w:numId="5">
    <w:abstractNumId w:val="32"/>
  </w:num>
  <w:num w:numId="6">
    <w:abstractNumId w:val="9"/>
  </w:num>
  <w:num w:numId="7">
    <w:abstractNumId w:val="38"/>
  </w:num>
  <w:num w:numId="8">
    <w:abstractNumId w:val="21"/>
  </w:num>
  <w:num w:numId="9">
    <w:abstractNumId w:val="26"/>
  </w:num>
  <w:num w:numId="10">
    <w:abstractNumId w:val="0"/>
  </w:num>
  <w:num w:numId="11">
    <w:abstractNumId w:val="34"/>
  </w:num>
  <w:num w:numId="12">
    <w:abstractNumId w:val="23"/>
  </w:num>
  <w:num w:numId="13">
    <w:abstractNumId w:val="28"/>
  </w:num>
  <w:num w:numId="14">
    <w:abstractNumId w:val="7"/>
  </w:num>
  <w:num w:numId="15">
    <w:abstractNumId w:val="16"/>
  </w:num>
  <w:num w:numId="16">
    <w:abstractNumId w:val="30"/>
  </w:num>
  <w:num w:numId="17">
    <w:abstractNumId w:val="25"/>
  </w:num>
  <w:num w:numId="18">
    <w:abstractNumId w:val="24"/>
  </w:num>
  <w:num w:numId="19">
    <w:abstractNumId w:val="39"/>
  </w:num>
  <w:num w:numId="20">
    <w:abstractNumId w:val="10"/>
  </w:num>
  <w:num w:numId="21">
    <w:abstractNumId w:val="20"/>
  </w:num>
  <w:num w:numId="22">
    <w:abstractNumId w:val="31"/>
  </w:num>
  <w:num w:numId="23">
    <w:abstractNumId w:val="14"/>
  </w:num>
  <w:num w:numId="24">
    <w:abstractNumId w:val="37"/>
  </w:num>
  <w:num w:numId="25">
    <w:abstractNumId w:val="27"/>
  </w:num>
  <w:num w:numId="26">
    <w:abstractNumId w:val="11"/>
  </w:num>
  <w:num w:numId="27">
    <w:abstractNumId w:val="35"/>
  </w:num>
  <w:num w:numId="28">
    <w:abstractNumId w:val="12"/>
  </w:num>
  <w:num w:numId="29">
    <w:abstractNumId w:val="6"/>
  </w:num>
  <w:num w:numId="30">
    <w:abstractNumId w:val="33"/>
  </w:num>
  <w:num w:numId="31">
    <w:abstractNumId w:val="8"/>
  </w:num>
  <w:num w:numId="32">
    <w:abstractNumId w:val="40"/>
  </w:num>
  <w:num w:numId="33">
    <w:abstractNumId w:val="17"/>
  </w:num>
  <w:num w:numId="34">
    <w:abstractNumId w:val="18"/>
  </w:num>
  <w:num w:numId="35">
    <w:abstractNumId w:val="3"/>
  </w:num>
  <w:num w:numId="36">
    <w:abstractNumId w:val="19"/>
  </w:num>
  <w:num w:numId="37">
    <w:abstractNumId w:val="13"/>
  </w:num>
  <w:num w:numId="38">
    <w:abstractNumId w:val="15"/>
  </w:num>
  <w:num w:numId="39">
    <w:abstractNumId w:val="22"/>
  </w:num>
  <w:num w:numId="40">
    <w:abstractNumId w:val="36"/>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D1"/>
    <w:rsid w:val="000376A0"/>
    <w:rsid w:val="00040596"/>
    <w:rsid w:val="000626D8"/>
    <w:rsid w:val="00065236"/>
    <w:rsid w:val="00070B69"/>
    <w:rsid w:val="00072F41"/>
    <w:rsid w:val="00075268"/>
    <w:rsid w:val="00082851"/>
    <w:rsid w:val="00093E90"/>
    <w:rsid w:val="0009775D"/>
    <w:rsid w:val="000D7879"/>
    <w:rsid w:val="001012EE"/>
    <w:rsid w:val="00114E70"/>
    <w:rsid w:val="001162F0"/>
    <w:rsid w:val="00117B4E"/>
    <w:rsid w:val="0012514A"/>
    <w:rsid w:val="00127765"/>
    <w:rsid w:val="001316EB"/>
    <w:rsid w:val="0015023E"/>
    <w:rsid w:val="00154FF1"/>
    <w:rsid w:val="001563AA"/>
    <w:rsid w:val="0016628E"/>
    <w:rsid w:val="001A0749"/>
    <w:rsid w:val="001B26D1"/>
    <w:rsid w:val="001B5F93"/>
    <w:rsid w:val="001C0ACF"/>
    <w:rsid w:val="001C2078"/>
    <w:rsid w:val="001C7140"/>
    <w:rsid w:val="001C7296"/>
    <w:rsid w:val="001E30AE"/>
    <w:rsid w:val="001E59D3"/>
    <w:rsid w:val="001E7AD1"/>
    <w:rsid w:val="00210D01"/>
    <w:rsid w:val="0021627B"/>
    <w:rsid w:val="0023762A"/>
    <w:rsid w:val="00272E81"/>
    <w:rsid w:val="002B6A43"/>
    <w:rsid w:val="002C136B"/>
    <w:rsid w:val="002D1D87"/>
    <w:rsid w:val="002D389F"/>
    <w:rsid w:val="002E0CEF"/>
    <w:rsid w:val="0031333B"/>
    <w:rsid w:val="00314C73"/>
    <w:rsid w:val="00322644"/>
    <w:rsid w:val="003555AB"/>
    <w:rsid w:val="003625E8"/>
    <w:rsid w:val="00375488"/>
    <w:rsid w:val="00375C23"/>
    <w:rsid w:val="00386B1B"/>
    <w:rsid w:val="003B51CF"/>
    <w:rsid w:val="003C6175"/>
    <w:rsid w:val="003C6427"/>
    <w:rsid w:val="003F1A1B"/>
    <w:rsid w:val="003F2672"/>
    <w:rsid w:val="003F72A3"/>
    <w:rsid w:val="00406B62"/>
    <w:rsid w:val="00407B18"/>
    <w:rsid w:val="0041524C"/>
    <w:rsid w:val="004165E3"/>
    <w:rsid w:val="00424B57"/>
    <w:rsid w:val="0044019B"/>
    <w:rsid w:val="0045169B"/>
    <w:rsid w:val="00456D55"/>
    <w:rsid w:val="004572C0"/>
    <w:rsid w:val="0047237A"/>
    <w:rsid w:val="00481126"/>
    <w:rsid w:val="00483606"/>
    <w:rsid w:val="00495267"/>
    <w:rsid w:val="004972F1"/>
    <w:rsid w:val="00497A67"/>
    <w:rsid w:val="004A1518"/>
    <w:rsid w:val="004B22C7"/>
    <w:rsid w:val="004B485F"/>
    <w:rsid w:val="004C40DC"/>
    <w:rsid w:val="004D50CA"/>
    <w:rsid w:val="004D69D7"/>
    <w:rsid w:val="004F6ABC"/>
    <w:rsid w:val="004F7174"/>
    <w:rsid w:val="0051197D"/>
    <w:rsid w:val="00526FB8"/>
    <w:rsid w:val="00532AE9"/>
    <w:rsid w:val="005368AE"/>
    <w:rsid w:val="005518AB"/>
    <w:rsid w:val="005727E4"/>
    <w:rsid w:val="00596B87"/>
    <w:rsid w:val="005A1B4F"/>
    <w:rsid w:val="005A2025"/>
    <w:rsid w:val="005A6B0A"/>
    <w:rsid w:val="005B2F02"/>
    <w:rsid w:val="005C25FF"/>
    <w:rsid w:val="00611849"/>
    <w:rsid w:val="006129A7"/>
    <w:rsid w:val="00632CD6"/>
    <w:rsid w:val="00636CBF"/>
    <w:rsid w:val="00641C52"/>
    <w:rsid w:val="00646A18"/>
    <w:rsid w:val="00647111"/>
    <w:rsid w:val="0065686B"/>
    <w:rsid w:val="00660D7A"/>
    <w:rsid w:val="006642DD"/>
    <w:rsid w:val="00664414"/>
    <w:rsid w:val="006720A0"/>
    <w:rsid w:val="006742F1"/>
    <w:rsid w:val="00683F40"/>
    <w:rsid w:val="00695BE0"/>
    <w:rsid w:val="006B0944"/>
    <w:rsid w:val="006B4261"/>
    <w:rsid w:val="006B6B4E"/>
    <w:rsid w:val="006E0BE6"/>
    <w:rsid w:val="006E41F4"/>
    <w:rsid w:val="006F7235"/>
    <w:rsid w:val="00702020"/>
    <w:rsid w:val="00711624"/>
    <w:rsid w:val="00771BD9"/>
    <w:rsid w:val="007741BE"/>
    <w:rsid w:val="00781038"/>
    <w:rsid w:val="00795CD9"/>
    <w:rsid w:val="007978F8"/>
    <w:rsid w:val="007C16A3"/>
    <w:rsid w:val="007E4034"/>
    <w:rsid w:val="007E60B5"/>
    <w:rsid w:val="007E7239"/>
    <w:rsid w:val="007F4A25"/>
    <w:rsid w:val="007F4F40"/>
    <w:rsid w:val="007F4FD5"/>
    <w:rsid w:val="007F6E16"/>
    <w:rsid w:val="0080357D"/>
    <w:rsid w:val="0080413A"/>
    <w:rsid w:val="00812F1F"/>
    <w:rsid w:val="00815B82"/>
    <w:rsid w:val="00816FD2"/>
    <w:rsid w:val="00825861"/>
    <w:rsid w:val="00826D78"/>
    <w:rsid w:val="00832408"/>
    <w:rsid w:val="00843967"/>
    <w:rsid w:val="0084543D"/>
    <w:rsid w:val="00857064"/>
    <w:rsid w:val="008724B7"/>
    <w:rsid w:val="00874C1E"/>
    <w:rsid w:val="00875CB7"/>
    <w:rsid w:val="008B2F98"/>
    <w:rsid w:val="008B3847"/>
    <w:rsid w:val="008C4362"/>
    <w:rsid w:val="008F5E4E"/>
    <w:rsid w:val="008F6028"/>
    <w:rsid w:val="00920E53"/>
    <w:rsid w:val="009325DD"/>
    <w:rsid w:val="00941307"/>
    <w:rsid w:val="00946D7C"/>
    <w:rsid w:val="0095367C"/>
    <w:rsid w:val="00953BAC"/>
    <w:rsid w:val="009747E7"/>
    <w:rsid w:val="00984455"/>
    <w:rsid w:val="009917A2"/>
    <w:rsid w:val="009B3EA5"/>
    <w:rsid w:val="009D132D"/>
    <w:rsid w:val="009E5380"/>
    <w:rsid w:val="009F3BF9"/>
    <w:rsid w:val="00A07BC1"/>
    <w:rsid w:val="00A34095"/>
    <w:rsid w:val="00A4702B"/>
    <w:rsid w:val="00A5262F"/>
    <w:rsid w:val="00A603CC"/>
    <w:rsid w:val="00A76B67"/>
    <w:rsid w:val="00A77E67"/>
    <w:rsid w:val="00A835EC"/>
    <w:rsid w:val="00A9506F"/>
    <w:rsid w:val="00AA47F0"/>
    <w:rsid w:val="00AB771F"/>
    <w:rsid w:val="00AC16FF"/>
    <w:rsid w:val="00AC25B3"/>
    <w:rsid w:val="00AC6413"/>
    <w:rsid w:val="00AC7528"/>
    <w:rsid w:val="00AD04A5"/>
    <w:rsid w:val="00AD2A49"/>
    <w:rsid w:val="00AD6291"/>
    <w:rsid w:val="00AF3797"/>
    <w:rsid w:val="00B056CE"/>
    <w:rsid w:val="00B073BE"/>
    <w:rsid w:val="00B0794C"/>
    <w:rsid w:val="00B12E86"/>
    <w:rsid w:val="00B516B7"/>
    <w:rsid w:val="00B53ED1"/>
    <w:rsid w:val="00B6052A"/>
    <w:rsid w:val="00B73FD6"/>
    <w:rsid w:val="00B87592"/>
    <w:rsid w:val="00B95DC8"/>
    <w:rsid w:val="00BA3B0E"/>
    <w:rsid w:val="00BB24FF"/>
    <w:rsid w:val="00BB426A"/>
    <w:rsid w:val="00BC79CF"/>
    <w:rsid w:val="00BD11C0"/>
    <w:rsid w:val="00BD2A0F"/>
    <w:rsid w:val="00BD2E36"/>
    <w:rsid w:val="00BD6453"/>
    <w:rsid w:val="00C05837"/>
    <w:rsid w:val="00C30CE3"/>
    <w:rsid w:val="00C443AE"/>
    <w:rsid w:val="00C64842"/>
    <w:rsid w:val="00C871A2"/>
    <w:rsid w:val="00C909BA"/>
    <w:rsid w:val="00CA29D7"/>
    <w:rsid w:val="00CC1BEF"/>
    <w:rsid w:val="00CC36A7"/>
    <w:rsid w:val="00CD56E1"/>
    <w:rsid w:val="00D001D2"/>
    <w:rsid w:val="00D01256"/>
    <w:rsid w:val="00D11F28"/>
    <w:rsid w:val="00D12DF1"/>
    <w:rsid w:val="00D5082E"/>
    <w:rsid w:val="00D52F04"/>
    <w:rsid w:val="00D66767"/>
    <w:rsid w:val="00D734D5"/>
    <w:rsid w:val="00DB3561"/>
    <w:rsid w:val="00DC6518"/>
    <w:rsid w:val="00DD48C2"/>
    <w:rsid w:val="00DF730D"/>
    <w:rsid w:val="00E06FE8"/>
    <w:rsid w:val="00E1759A"/>
    <w:rsid w:val="00E34F19"/>
    <w:rsid w:val="00E5431F"/>
    <w:rsid w:val="00E65F1C"/>
    <w:rsid w:val="00E82AB8"/>
    <w:rsid w:val="00E96402"/>
    <w:rsid w:val="00EB0D3B"/>
    <w:rsid w:val="00EB5BCC"/>
    <w:rsid w:val="00EC1476"/>
    <w:rsid w:val="00EC184D"/>
    <w:rsid w:val="00EC539F"/>
    <w:rsid w:val="00EE2136"/>
    <w:rsid w:val="00EE29D2"/>
    <w:rsid w:val="00EF3C19"/>
    <w:rsid w:val="00EF490A"/>
    <w:rsid w:val="00F16C86"/>
    <w:rsid w:val="00F17031"/>
    <w:rsid w:val="00F53A55"/>
    <w:rsid w:val="00F721B4"/>
    <w:rsid w:val="00F87176"/>
    <w:rsid w:val="00F939B4"/>
    <w:rsid w:val="00F973D4"/>
    <w:rsid w:val="00FA403C"/>
    <w:rsid w:val="00FA6214"/>
    <w:rsid w:val="00FB1936"/>
    <w:rsid w:val="00FC4C42"/>
    <w:rsid w:val="00FD3C2F"/>
    <w:rsid w:val="00FD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A1EE-19B1-4976-98A3-A8FBA8A4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Knox</dc:creator>
  <cp:lastModifiedBy>Liz Jenkinson</cp:lastModifiedBy>
  <cp:revision>2</cp:revision>
  <cp:lastPrinted>2018-06-29T13:52:00Z</cp:lastPrinted>
  <dcterms:created xsi:type="dcterms:W3CDTF">2018-08-10T13:39:00Z</dcterms:created>
  <dcterms:modified xsi:type="dcterms:W3CDTF">2018-08-10T13:39:00Z</dcterms:modified>
</cp:coreProperties>
</file>