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F1" w:rsidRDefault="00156EF1" w:rsidP="0033176C">
      <w:pPr>
        <w:spacing w:after="0" w:line="240" w:lineRule="exact"/>
        <w:jc w:val="both"/>
        <w:rPr>
          <w:rFonts w:cs="Arial"/>
          <w:b/>
        </w:rPr>
      </w:pPr>
      <w:bookmarkStart w:id="0" w:name="_GoBack"/>
      <w:bookmarkEnd w:id="0"/>
    </w:p>
    <w:p w:rsidR="00C30CE3" w:rsidRPr="00064724" w:rsidRDefault="00A07BC1" w:rsidP="0033176C">
      <w:pPr>
        <w:pStyle w:val="ListParagraph"/>
        <w:numPr>
          <w:ilvl w:val="0"/>
          <w:numId w:val="1"/>
        </w:numPr>
        <w:spacing w:after="0" w:line="240" w:lineRule="exact"/>
        <w:jc w:val="both"/>
        <w:rPr>
          <w:rFonts w:cs="Arial"/>
          <w:b/>
          <w:sz w:val="20"/>
          <w:szCs w:val="20"/>
        </w:rPr>
      </w:pPr>
      <w:r w:rsidRPr="00064724">
        <w:rPr>
          <w:rFonts w:cs="Arial"/>
          <w:b/>
          <w:sz w:val="20"/>
          <w:szCs w:val="20"/>
        </w:rPr>
        <w:t>Introduction</w:t>
      </w:r>
    </w:p>
    <w:p w:rsidR="00FB29F2" w:rsidRPr="00064724" w:rsidRDefault="00FB29F2" w:rsidP="0033176C">
      <w:pPr>
        <w:spacing w:after="0" w:line="240" w:lineRule="exact"/>
        <w:jc w:val="both"/>
        <w:rPr>
          <w:rFonts w:cs="Arial"/>
          <w:b/>
          <w:sz w:val="20"/>
          <w:szCs w:val="20"/>
        </w:rPr>
      </w:pPr>
    </w:p>
    <w:p w:rsidR="00400C75" w:rsidRPr="00064724" w:rsidRDefault="009D3D40" w:rsidP="0033176C">
      <w:pPr>
        <w:spacing w:after="0" w:line="240" w:lineRule="exact"/>
        <w:ind w:left="720"/>
        <w:jc w:val="both"/>
        <w:rPr>
          <w:sz w:val="20"/>
          <w:szCs w:val="20"/>
        </w:rPr>
      </w:pPr>
      <w:r w:rsidRPr="00064724">
        <w:rPr>
          <w:rFonts w:cs="Arial"/>
          <w:sz w:val="20"/>
          <w:szCs w:val="20"/>
        </w:rPr>
        <w:t xml:space="preserve">This policy outlines One Manchester’s </w:t>
      </w:r>
      <w:r w:rsidR="00400C75" w:rsidRPr="00064724">
        <w:rPr>
          <w:rFonts w:cs="Arial"/>
          <w:sz w:val="20"/>
          <w:szCs w:val="20"/>
        </w:rPr>
        <w:t>commitment</w:t>
      </w:r>
      <w:r w:rsidRPr="00064724">
        <w:rPr>
          <w:rFonts w:cs="Arial"/>
          <w:sz w:val="20"/>
          <w:szCs w:val="20"/>
        </w:rPr>
        <w:t xml:space="preserve"> to </w:t>
      </w:r>
      <w:r w:rsidR="001E4A0E" w:rsidRPr="00064724">
        <w:rPr>
          <w:rFonts w:cs="Arial"/>
          <w:sz w:val="20"/>
          <w:szCs w:val="20"/>
        </w:rPr>
        <w:t xml:space="preserve">adults at risk of harm </w:t>
      </w:r>
      <w:r w:rsidRPr="00064724">
        <w:rPr>
          <w:rFonts w:cs="Arial"/>
          <w:sz w:val="20"/>
          <w:szCs w:val="20"/>
        </w:rPr>
        <w:t xml:space="preserve">and the way we intend to work with </w:t>
      </w:r>
      <w:r w:rsidR="00E409DC" w:rsidRPr="00064724">
        <w:rPr>
          <w:rFonts w:cs="Arial"/>
          <w:sz w:val="20"/>
          <w:szCs w:val="20"/>
        </w:rPr>
        <w:t>them</w:t>
      </w:r>
      <w:r w:rsidR="00C47B88" w:rsidRPr="00064724">
        <w:rPr>
          <w:rFonts w:cs="Arial"/>
          <w:sz w:val="20"/>
          <w:szCs w:val="20"/>
        </w:rPr>
        <w:t>, agencies and</w:t>
      </w:r>
      <w:r w:rsidRPr="00064724">
        <w:rPr>
          <w:rFonts w:cs="Arial"/>
          <w:sz w:val="20"/>
          <w:szCs w:val="20"/>
        </w:rPr>
        <w:t xml:space="preserve"> other organisations to </w:t>
      </w:r>
      <w:r w:rsidR="00F25EC4" w:rsidRPr="00064724">
        <w:rPr>
          <w:rFonts w:cs="Arial"/>
          <w:sz w:val="20"/>
          <w:szCs w:val="20"/>
        </w:rPr>
        <w:t xml:space="preserve">provide </w:t>
      </w:r>
      <w:r w:rsidR="00F25EC4" w:rsidRPr="00064724">
        <w:rPr>
          <w:sz w:val="20"/>
          <w:szCs w:val="20"/>
        </w:rPr>
        <w:t>flexible</w:t>
      </w:r>
      <w:r w:rsidR="00400C75" w:rsidRPr="00064724">
        <w:rPr>
          <w:sz w:val="20"/>
          <w:szCs w:val="20"/>
        </w:rPr>
        <w:t xml:space="preserve"> services</w:t>
      </w:r>
      <w:r w:rsidR="00CE76F2" w:rsidRPr="00064724">
        <w:rPr>
          <w:sz w:val="20"/>
          <w:szCs w:val="20"/>
        </w:rPr>
        <w:t xml:space="preserve"> that take account of </w:t>
      </w:r>
      <w:r w:rsidR="00400C75" w:rsidRPr="00064724">
        <w:rPr>
          <w:sz w:val="20"/>
          <w:szCs w:val="20"/>
        </w:rPr>
        <w:t>diverse needs</w:t>
      </w:r>
      <w:r w:rsidR="0082481E" w:rsidRPr="00064724">
        <w:rPr>
          <w:sz w:val="20"/>
          <w:szCs w:val="20"/>
        </w:rPr>
        <w:t>.</w:t>
      </w:r>
    </w:p>
    <w:p w:rsidR="0041524C" w:rsidRPr="00064724" w:rsidRDefault="0041524C" w:rsidP="0033176C">
      <w:pPr>
        <w:spacing w:after="0" w:line="240" w:lineRule="exact"/>
        <w:jc w:val="both"/>
        <w:rPr>
          <w:rFonts w:cs="Arial"/>
          <w:sz w:val="20"/>
          <w:szCs w:val="20"/>
        </w:rPr>
      </w:pPr>
    </w:p>
    <w:p w:rsidR="00A07BC1" w:rsidRPr="00064724" w:rsidRDefault="00A07BC1" w:rsidP="0033176C">
      <w:pPr>
        <w:spacing w:after="0" w:line="240" w:lineRule="exact"/>
        <w:jc w:val="both"/>
        <w:rPr>
          <w:rFonts w:cs="Arial"/>
          <w:b/>
          <w:sz w:val="20"/>
          <w:szCs w:val="20"/>
        </w:rPr>
      </w:pPr>
      <w:r w:rsidRPr="00064724">
        <w:rPr>
          <w:rFonts w:cs="Arial"/>
          <w:b/>
          <w:sz w:val="20"/>
          <w:szCs w:val="20"/>
        </w:rPr>
        <w:t>2.0</w:t>
      </w:r>
      <w:r w:rsidRPr="00064724">
        <w:rPr>
          <w:rFonts w:cs="Arial"/>
          <w:b/>
          <w:sz w:val="20"/>
          <w:szCs w:val="20"/>
        </w:rPr>
        <w:tab/>
        <w:t>Purpose</w:t>
      </w:r>
    </w:p>
    <w:p w:rsidR="00C47B88" w:rsidRPr="00064724" w:rsidRDefault="00C47B88" w:rsidP="0033176C">
      <w:pPr>
        <w:spacing w:after="0" w:line="240" w:lineRule="exact"/>
        <w:ind w:left="720"/>
        <w:jc w:val="both"/>
        <w:rPr>
          <w:rFonts w:cs="Arial"/>
          <w:sz w:val="20"/>
          <w:szCs w:val="20"/>
        </w:rPr>
      </w:pPr>
    </w:p>
    <w:p w:rsidR="00C47B88" w:rsidRPr="00064724" w:rsidRDefault="00C47B88" w:rsidP="0033176C">
      <w:pPr>
        <w:spacing w:after="0" w:line="240" w:lineRule="exact"/>
        <w:ind w:left="720"/>
        <w:jc w:val="both"/>
        <w:rPr>
          <w:rFonts w:cs="Arial"/>
          <w:sz w:val="20"/>
          <w:szCs w:val="20"/>
        </w:rPr>
      </w:pPr>
      <w:r w:rsidRPr="00064724">
        <w:rPr>
          <w:rFonts w:cs="Arial"/>
          <w:sz w:val="20"/>
          <w:szCs w:val="20"/>
        </w:rPr>
        <w:t xml:space="preserve">To provide a framework </w:t>
      </w:r>
      <w:r w:rsidR="00CF0ACC" w:rsidRPr="00064724">
        <w:rPr>
          <w:rFonts w:cs="Arial"/>
          <w:sz w:val="20"/>
          <w:szCs w:val="20"/>
        </w:rPr>
        <w:t xml:space="preserve">that </w:t>
      </w:r>
      <w:r w:rsidRPr="00064724">
        <w:rPr>
          <w:rFonts w:cs="Arial"/>
          <w:sz w:val="20"/>
          <w:szCs w:val="20"/>
        </w:rPr>
        <w:t xml:space="preserve">One Manchester can </w:t>
      </w:r>
      <w:r w:rsidR="00D80B62" w:rsidRPr="00064724">
        <w:rPr>
          <w:rFonts w:cs="Arial"/>
          <w:sz w:val="20"/>
          <w:szCs w:val="20"/>
        </w:rPr>
        <w:t>use</w:t>
      </w:r>
      <w:r w:rsidRPr="00064724">
        <w:rPr>
          <w:rFonts w:cs="Arial"/>
          <w:sz w:val="20"/>
          <w:szCs w:val="20"/>
        </w:rPr>
        <w:t xml:space="preserve"> to ensure the </w:t>
      </w:r>
      <w:r w:rsidR="001C7EEF" w:rsidRPr="00064724">
        <w:rPr>
          <w:rFonts w:cs="Arial"/>
          <w:sz w:val="20"/>
          <w:szCs w:val="20"/>
        </w:rPr>
        <w:t>organisation</w:t>
      </w:r>
      <w:r w:rsidR="00BE3436" w:rsidRPr="00064724">
        <w:rPr>
          <w:rFonts w:cs="Arial"/>
          <w:sz w:val="20"/>
          <w:szCs w:val="20"/>
        </w:rPr>
        <w:t>’</w:t>
      </w:r>
      <w:r w:rsidR="001C7EEF" w:rsidRPr="00064724">
        <w:rPr>
          <w:rFonts w:cs="Arial"/>
          <w:sz w:val="20"/>
          <w:szCs w:val="20"/>
        </w:rPr>
        <w:t>s</w:t>
      </w:r>
      <w:r w:rsidRPr="00064724">
        <w:rPr>
          <w:rFonts w:cs="Arial"/>
          <w:sz w:val="20"/>
          <w:szCs w:val="20"/>
        </w:rPr>
        <w:t xml:space="preserve"> approach to </w:t>
      </w:r>
      <w:r w:rsidR="00400C75" w:rsidRPr="00064724">
        <w:rPr>
          <w:rFonts w:cs="Arial"/>
          <w:sz w:val="20"/>
          <w:szCs w:val="20"/>
        </w:rPr>
        <w:t xml:space="preserve">supporting </w:t>
      </w:r>
      <w:r w:rsidR="001E4A0E" w:rsidRPr="00064724">
        <w:rPr>
          <w:rFonts w:cs="Arial"/>
          <w:sz w:val="20"/>
          <w:szCs w:val="20"/>
        </w:rPr>
        <w:t xml:space="preserve">adults at risk of harm </w:t>
      </w:r>
      <w:r w:rsidR="00F25EC4" w:rsidRPr="00064724">
        <w:rPr>
          <w:rFonts w:cs="Arial"/>
          <w:sz w:val="20"/>
          <w:szCs w:val="20"/>
        </w:rPr>
        <w:t>is</w:t>
      </w:r>
      <w:r w:rsidRPr="00064724">
        <w:rPr>
          <w:rFonts w:cs="Arial"/>
          <w:sz w:val="20"/>
          <w:szCs w:val="20"/>
        </w:rPr>
        <w:t xml:space="preserve"> </w:t>
      </w:r>
      <w:r w:rsidR="001C7EEF" w:rsidRPr="00064724">
        <w:rPr>
          <w:rFonts w:cs="Arial"/>
          <w:sz w:val="20"/>
          <w:szCs w:val="20"/>
        </w:rPr>
        <w:t>appropriate.</w:t>
      </w:r>
      <w:r w:rsidR="00D80B62" w:rsidRPr="00064724">
        <w:rPr>
          <w:rFonts w:cs="Arial"/>
          <w:sz w:val="20"/>
          <w:szCs w:val="20"/>
        </w:rPr>
        <w:t xml:space="preserve"> </w:t>
      </w:r>
      <w:r w:rsidRPr="00064724">
        <w:rPr>
          <w:rFonts w:cs="Arial"/>
          <w:sz w:val="20"/>
          <w:szCs w:val="20"/>
        </w:rPr>
        <w:t>To contribute towards sustainable communities and improve the quality of life for those people who live</w:t>
      </w:r>
      <w:r w:rsidR="00CE76F2" w:rsidRPr="00064724">
        <w:rPr>
          <w:rFonts w:cs="Arial"/>
          <w:sz w:val="20"/>
          <w:szCs w:val="20"/>
        </w:rPr>
        <w:t xml:space="preserve"> in</w:t>
      </w:r>
      <w:r w:rsidRPr="00064724">
        <w:rPr>
          <w:rFonts w:cs="Arial"/>
          <w:sz w:val="20"/>
          <w:szCs w:val="20"/>
        </w:rPr>
        <w:t xml:space="preserve">, work </w:t>
      </w:r>
      <w:r w:rsidR="00CE76F2" w:rsidRPr="00064724">
        <w:rPr>
          <w:rFonts w:cs="Arial"/>
          <w:sz w:val="20"/>
          <w:szCs w:val="20"/>
        </w:rPr>
        <w:t xml:space="preserve">in </w:t>
      </w:r>
      <w:r w:rsidRPr="00064724">
        <w:rPr>
          <w:rFonts w:cs="Arial"/>
          <w:sz w:val="20"/>
          <w:szCs w:val="20"/>
        </w:rPr>
        <w:t>and visit the area.</w:t>
      </w:r>
    </w:p>
    <w:p w:rsidR="00DC6518" w:rsidRPr="00064724" w:rsidRDefault="00DC6518" w:rsidP="0033176C">
      <w:pPr>
        <w:spacing w:after="0" w:line="240" w:lineRule="exact"/>
        <w:jc w:val="both"/>
        <w:rPr>
          <w:rFonts w:cs="Arial"/>
          <w:sz w:val="20"/>
          <w:szCs w:val="20"/>
        </w:rPr>
      </w:pPr>
    </w:p>
    <w:p w:rsidR="00BA3B0E" w:rsidRPr="00064724" w:rsidRDefault="00BA3B0E" w:rsidP="0033176C">
      <w:pPr>
        <w:spacing w:after="0" w:line="240" w:lineRule="exact"/>
        <w:jc w:val="both"/>
        <w:rPr>
          <w:rFonts w:cs="Arial"/>
          <w:b/>
          <w:sz w:val="20"/>
          <w:szCs w:val="20"/>
        </w:rPr>
      </w:pPr>
      <w:r w:rsidRPr="00064724">
        <w:rPr>
          <w:rFonts w:cs="Arial"/>
          <w:b/>
          <w:sz w:val="20"/>
          <w:szCs w:val="20"/>
        </w:rPr>
        <w:t>3.0</w:t>
      </w:r>
      <w:r w:rsidRPr="00064724">
        <w:rPr>
          <w:rFonts w:cs="Arial"/>
          <w:b/>
          <w:sz w:val="20"/>
          <w:szCs w:val="20"/>
        </w:rPr>
        <w:tab/>
        <w:t>Scope</w:t>
      </w:r>
    </w:p>
    <w:p w:rsidR="00811FF5" w:rsidRPr="00064724" w:rsidRDefault="001C7EEF" w:rsidP="0033176C">
      <w:pPr>
        <w:spacing w:after="0" w:line="240" w:lineRule="exact"/>
        <w:ind w:left="720"/>
        <w:jc w:val="both"/>
        <w:rPr>
          <w:rFonts w:cs="Arial"/>
          <w:sz w:val="20"/>
          <w:szCs w:val="20"/>
        </w:rPr>
      </w:pPr>
      <w:r w:rsidRPr="00064724">
        <w:rPr>
          <w:rFonts w:cs="Arial"/>
          <w:sz w:val="20"/>
          <w:szCs w:val="20"/>
        </w:rPr>
        <w:t xml:space="preserve"> </w:t>
      </w:r>
    </w:p>
    <w:p w:rsidR="00DC6518" w:rsidRPr="00064724" w:rsidRDefault="00400C75" w:rsidP="0033176C">
      <w:pPr>
        <w:spacing w:line="240" w:lineRule="exact"/>
        <w:ind w:left="709"/>
        <w:jc w:val="both"/>
        <w:rPr>
          <w:sz w:val="20"/>
          <w:szCs w:val="20"/>
        </w:rPr>
      </w:pPr>
      <w:r w:rsidRPr="00064724">
        <w:rPr>
          <w:sz w:val="20"/>
          <w:szCs w:val="20"/>
        </w:rPr>
        <w:t xml:space="preserve">For the purposes of this policy the definition of </w:t>
      </w:r>
      <w:r w:rsidR="001E4A0E" w:rsidRPr="00064724">
        <w:rPr>
          <w:sz w:val="20"/>
          <w:szCs w:val="20"/>
        </w:rPr>
        <w:t xml:space="preserve">an adult at risk of harm </w:t>
      </w:r>
      <w:r w:rsidRPr="00064724">
        <w:rPr>
          <w:sz w:val="20"/>
          <w:szCs w:val="20"/>
        </w:rPr>
        <w:t>is:</w:t>
      </w:r>
      <w:r w:rsidR="002569B9" w:rsidRPr="00064724">
        <w:rPr>
          <w:sz w:val="20"/>
          <w:szCs w:val="20"/>
        </w:rPr>
        <w:t xml:space="preserve"> </w:t>
      </w:r>
      <w:r w:rsidRPr="00064724">
        <w:rPr>
          <w:sz w:val="20"/>
          <w:szCs w:val="20"/>
        </w:rPr>
        <w:t>An individual or household experiencing difficulties with everyday living due to financial, educational, health, employment, learning, language, behavioural, family, social, age or other circumstanc</w:t>
      </w:r>
      <w:r w:rsidR="00BC6D7D" w:rsidRPr="00064724">
        <w:rPr>
          <w:sz w:val="20"/>
          <w:szCs w:val="20"/>
        </w:rPr>
        <w:t>es or any combination of these.</w:t>
      </w:r>
    </w:p>
    <w:p w:rsidR="00BC6D7D" w:rsidRPr="00064724" w:rsidRDefault="00BC6D7D" w:rsidP="0033176C">
      <w:pPr>
        <w:spacing w:line="240" w:lineRule="exact"/>
        <w:ind w:left="709"/>
        <w:jc w:val="both"/>
        <w:rPr>
          <w:sz w:val="20"/>
          <w:szCs w:val="20"/>
        </w:rPr>
      </w:pPr>
      <w:r w:rsidRPr="00064724">
        <w:rPr>
          <w:sz w:val="20"/>
          <w:szCs w:val="20"/>
        </w:rPr>
        <w:t xml:space="preserve">We have grouped potential indicators of </w:t>
      </w:r>
      <w:r w:rsidR="001E4A0E" w:rsidRPr="00064724">
        <w:rPr>
          <w:sz w:val="20"/>
          <w:szCs w:val="20"/>
        </w:rPr>
        <w:t>those at risk</w:t>
      </w:r>
      <w:r w:rsidRPr="00064724">
        <w:rPr>
          <w:sz w:val="20"/>
          <w:szCs w:val="20"/>
        </w:rPr>
        <w:t xml:space="preserve"> under the following </w:t>
      </w:r>
      <w:r w:rsidR="00C500E8" w:rsidRPr="00064724">
        <w:rPr>
          <w:sz w:val="20"/>
          <w:szCs w:val="20"/>
        </w:rPr>
        <w:t>headings:</w:t>
      </w:r>
      <w:r w:rsidRPr="00064724">
        <w:rPr>
          <w:sz w:val="20"/>
          <w:szCs w:val="20"/>
        </w:rPr>
        <w:t>-</w:t>
      </w:r>
    </w:p>
    <w:p w:rsidR="00BC6D7D" w:rsidRPr="00064724" w:rsidRDefault="005F0F72" w:rsidP="0033176C">
      <w:pPr>
        <w:pStyle w:val="ListParagraph"/>
        <w:numPr>
          <w:ilvl w:val="0"/>
          <w:numId w:val="17"/>
        </w:numPr>
        <w:spacing w:after="0" w:line="240" w:lineRule="exact"/>
        <w:ind w:left="1418" w:hanging="709"/>
        <w:contextualSpacing w:val="0"/>
        <w:jc w:val="both"/>
        <w:rPr>
          <w:sz w:val="20"/>
          <w:szCs w:val="20"/>
        </w:rPr>
      </w:pPr>
      <w:r w:rsidRPr="00064724">
        <w:rPr>
          <w:b/>
          <w:bCs/>
          <w:sz w:val="20"/>
          <w:szCs w:val="20"/>
        </w:rPr>
        <w:t>Individual Welfare C</w:t>
      </w:r>
      <w:r w:rsidR="00BC6D7D" w:rsidRPr="00064724">
        <w:rPr>
          <w:b/>
          <w:bCs/>
          <w:sz w:val="20"/>
          <w:szCs w:val="20"/>
        </w:rPr>
        <w:t>oncerns</w:t>
      </w:r>
      <w:r w:rsidR="00BC6D7D" w:rsidRPr="00064724">
        <w:rPr>
          <w:sz w:val="20"/>
          <w:szCs w:val="20"/>
        </w:rPr>
        <w:t xml:space="preserve"> - problematic alcohol or drug use, domestic violence or vulnerability to abuse, victims or perpetrators of anti social behaviour, crime</w:t>
      </w:r>
      <w:r w:rsidRPr="00064724">
        <w:rPr>
          <w:sz w:val="20"/>
          <w:szCs w:val="20"/>
        </w:rPr>
        <w:t xml:space="preserve"> </w:t>
      </w:r>
      <w:r w:rsidR="00D24D8B" w:rsidRPr="00064724">
        <w:rPr>
          <w:sz w:val="20"/>
          <w:szCs w:val="20"/>
        </w:rPr>
        <w:t>/ fear of crime</w:t>
      </w:r>
      <w:r w:rsidR="00BC6D7D" w:rsidRPr="00064724">
        <w:rPr>
          <w:sz w:val="20"/>
          <w:szCs w:val="20"/>
        </w:rPr>
        <w:t xml:space="preserve"> including </w:t>
      </w:r>
      <w:r w:rsidR="00D24D8B" w:rsidRPr="00064724">
        <w:rPr>
          <w:sz w:val="20"/>
          <w:szCs w:val="20"/>
        </w:rPr>
        <w:t xml:space="preserve">hate and </w:t>
      </w:r>
      <w:r w:rsidR="008D1D67" w:rsidRPr="00064724">
        <w:rPr>
          <w:sz w:val="20"/>
          <w:szCs w:val="20"/>
        </w:rPr>
        <w:t>m</w:t>
      </w:r>
      <w:r w:rsidR="00BC6D7D" w:rsidRPr="00064724">
        <w:rPr>
          <w:sz w:val="20"/>
          <w:szCs w:val="20"/>
        </w:rPr>
        <w:t xml:space="preserve">ate crime, neglect or self harm, gambling or significant addiction </w:t>
      </w:r>
    </w:p>
    <w:p w:rsidR="00BC6D7D" w:rsidRPr="00064724" w:rsidRDefault="00BC6D7D" w:rsidP="0033176C">
      <w:pPr>
        <w:pStyle w:val="ListParagraph"/>
        <w:numPr>
          <w:ilvl w:val="0"/>
          <w:numId w:val="17"/>
        </w:numPr>
        <w:spacing w:after="0" w:line="240" w:lineRule="exact"/>
        <w:ind w:left="1418" w:hanging="709"/>
        <w:contextualSpacing w:val="0"/>
        <w:jc w:val="both"/>
        <w:rPr>
          <w:sz w:val="20"/>
          <w:szCs w:val="20"/>
        </w:rPr>
      </w:pPr>
      <w:r w:rsidRPr="00064724">
        <w:rPr>
          <w:b/>
          <w:bCs/>
          <w:sz w:val="20"/>
          <w:szCs w:val="20"/>
        </w:rPr>
        <w:t xml:space="preserve">Physical Health </w:t>
      </w:r>
      <w:r w:rsidRPr="00064724">
        <w:rPr>
          <w:sz w:val="20"/>
          <w:szCs w:val="20"/>
        </w:rPr>
        <w:t>- physical disability, learning disability, dementia, high dependency or frailty due to age or multiple hospital admissions</w:t>
      </w:r>
    </w:p>
    <w:p w:rsidR="00BC6D7D" w:rsidRPr="00064724" w:rsidRDefault="00BC6D7D" w:rsidP="0033176C">
      <w:pPr>
        <w:pStyle w:val="ListParagraph"/>
        <w:numPr>
          <w:ilvl w:val="0"/>
          <w:numId w:val="17"/>
        </w:numPr>
        <w:spacing w:after="0" w:line="240" w:lineRule="exact"/>
        <w:ind w:left="1418" w:hanging="709"/>
        <w:contextualSpacing w:val="0"/>
        <w:jc w:val="both"/>
        <w:rPr>
          <w:b/>
          <w:bCs/>
          <w:sz w:val="20"/>
          <w:szCs w:val="20"/>
        </w:rPr>
      </w:pPr>
      <w:r w:rsidRPr="00064724">
        <w:rPr>
          <w:b/>
          <w:bCs/>
          <w:sz w:val="20"/>
          <w:szCs w:val="20"/>
        </w:rPr>
        <w:t xml:space="preserve">Emotional and Mental Health </w:t>
      </w:r>
      <w:r w:rsidRPr="00064724">
        <w:rPr>
          <w:sz w:val="20"/>
          <w:szCs w:val="20"/>
        </w:rPr>
        <w:t>- severe depression, anxiety or other mental health issues</w:t>
      </w:r>
    </w:p>
    <w:p w:rsidR="00BC6D7D" w:rsidRPr="00064724" w:rsidRDefault="00BC6D7D" w:rsidP="0033176C">
      <w:pPr>
        <w:pStyle w:val="ListParagraph"/>
        <w:numPr>
          <w:ilvl w:val="0"/>
          <w:numId w:val="17"/>
        </w:numPr>
        <w:spacing w:after="0" w:line="240" w:lineRule="exact"/>
        <w:ind w:left="1418" w:hanging="709"/>
        <w:contextualSpacing w:val="0"/>
        <w:jc w:val="both"/>
        <w:rPr>
          <w:b/>
          <w:bCs/>
          <w:sz w:val="20"/>
          <w:szCs w:val="20"/>
        </w:rPr>
      </w:pPr>
      <w:r w:rsidRPr="00064724">
        <w:rPr>
          <w:b/>
          <w:bCs/>
          <w:sz w:val="20"/>
          <w:szCs w:val="20"/>
        </w:rPr>
        <w:t>Tenancy Management Issues</w:t>
      </w:r>
      <w:r w:rsidRPr="00064724">
        <w:rPr>
          <w:sz w:val="20"/>
          <w:szCs w:val="20"/>
        </w:rPr>
        <w:t xml:space="preserve"> - history of tenancy </w:t>
      </w:r>
      <w:r w:rsidR="00D24D8B" w:rsidRPr="00064724">
        <w:rPr>
          <w:sz w:val="20"/>
          <w:szCs w:val="20"/>
        </w:rPr>
        <w:t>failure</w:t>
      </w:r>
      <w:r w:rsidRPr="00064724">
        <w:rPr>
          <w:sz w:val="20"/>
          <w:szCs w:val="20"/>
        </w:rPr>
        <w:t xml:space="preserve"> e.g. eviction or repossession, multiple budgeting or debt issues, care leaver, young carer or previously homeless or in temporary accommodation </w:t>
      </w:r>
    </w:p>
    <w:p w:rsidR="002569B9" w:rsidRPr="00064724" w:rsidRDefault="00BC6D7D" w:rsidP="0033176C">
      <w:pPr>
        <w:pStyle w:val="ListParagraph"/>
        <w:numPr>
          <w:ilvl w:val="0"/>
          <w:numId w:val="17"/>
        </w:numPr>
        <w:spacing w:after="0" w:line="240" w:lineRule="exact"/>
        <w:ind w:left="1418" w:hanging="709"/>
        <w:contextualSpacing w:val="0"/>
        <w:jc w:val="both"/>
        <w:rPr>
          <w:rFonts w:eastAsia="Times New Roman"/>
          <w:b/>
          <w:sz w:val="20"/>
          <w:szCs w:val="20"/>
        </w:rPr>
      </w:pPr>
      <w:r w:rsidRPr="00064724">
        <w:rPr>
          <w:rFonts w:eastAsia="Times New Roman"/>
          <w:b/>
          <w:sz w:val="20"/>
          <w:szCs w:val="20"/>
        </w:rPr>
        <w:t>Family and Friends</w:t>
      </w:r>
      <w:r w:rsidRPr="00064724">
        <w:rPr>
          <w:sz w:val="20"/>
          <w:szCs w:val="20"/>
        </w:rPr>
        <w:t xml:space="preserve"> - bereavement, relationship breakdown, chaotic lifestyles, multiple and complex needs, long term unemployment or hoarding behaviours.  </w:t>
      </w:r>
    </w:p>
    <w:p w:rsidR="00D24D8B" w:rsidRPr="00064724" w:rsidRDefault="00D24D8B" w:rsidP="0033176C">
      <w:pPr>
        <w:pStyle w:val="ListParagraph"/>
        <w:numPr>
          <w:ilvl w:val="0"/>
          <w:numId w:val="17"/>
        </w:numPr>
        <w:spacing w:after="0" w:line="240" w:lineRule="exact"/>
        <w:ind w:left="1418" w:hanging="709"/>
        <w:contextualSpacing w:val="0"/>
        <w:jc w:val="both"/>
        <w:rPr>
          <w:rFonts w:eastAsia="Times New Roman"/>
          <w:b/>
          <w:sz w:val="20"/>
          <w:szCs w:val="20"/>
        </w:rPr>
      </w:pPr>
      <w:r w:rsidRPr="00064724">
        <w:rPr>
          <w:rFonts w:eastAsia="Times New Roman"/>
          <w:b/>
          <w:sz w:val="20"/>
          <w:szCs w:val="20"/>
        </w:rPr>
        <w:t>Irregular income</w:t>
      </w:r>
      <w:r w:rsidR="002569B9" w:rsidRPr="00064724">
        <w:rPr>
          <w:rFonts w:eastAsia="Times New Roman"/>
          <w:b/>
          <w:sz w:val="20"/>
          <w:szCs w:val="20"/>
        </w:rPr>
        <w:t xml:space="preserve">: </w:t>
      </w:r>
      <w:r w:rsidR="002569B9" w:rsidRPr="00064724">
        <w:rPr>
          <w:rFonts w:eastAsia="Times New Roman"/>
          <w:sz w:val="20"/>
          <w:szCs w:val="20"/>
        </w:rPr>
        <w:t>Agency worker,</w:t>
      </w:r>
      <w:r w:rsidR="002569B9" w:rsidRPr="00064724">
        <w:rPr>
          <w:rFonts w:eastAsia="Times New Roman"/>
          <w:b/>
          <w:sz w:val="20"/>
          <w:szCs w:val="20"/>
        </w:rPr>
        <w:t xml:space="preserve"> </w:t>
      </w:r>
      <w:r w:rsidR="002569B9" w:rsidRPr="00064724">
        <w:rPr>
          <w:rFonts w:eastAsia="Times New Roman"/>
          <w:sz w:val="20"/>
          <w:szCs w:val="20"/>
        </w:rPr>
        <w:t>Zero hours contract, changes to benefit type, sanctions, U.C.</w:t>
      </w:r>
      <w:r w:rsidR="002569B9" w:rsidRPr="00064724">
        <w:rPr>
          <w:rFonts w:eastAsia="Times New Roman"/>
          <w:b/>
          <w:sz w:val="20"/>
          <w:szCs w:val="20"/>
        </w:rPr>
        <w:t xml:space="preserve"> </w:t>
      </w:r>
    </w:p>
    <w:p w:rsidR="00D24D8B" w:rsidRPr="00064724" w:rsidRDefault="00D24D8B" w:rsidP="0033176C">
      <w:pPr>
        <w:pStyle w:val="ListParagraph"/>
        <w:spacing w:after="0" w:line="240" w:lineRule="exact"/>
        <w:ind w:left="1418"/>
        <w:contextualSpacing w:val="0"/>
        <w:jc w:val="both"/>
        <w:rPr>
          <w:sz w:val="20"/>
          <w:szCs w:val="20"/>
        </w:rPr>
      </w:pPr>
    </w:p>
    <w:p w:rsidR="00D24D8B" w:rsidRPr="00064724" w:rsidRDefault="00D24D8B" w:rsidP="0033176C">
      <w:pPr>
        <w:spacing w:after="0" w:line="240" w:lineRule="exact"/>
        <w:ind w:left="720"/>
        <w:jc w:val="both"/>
        <w:rPr>
          <w:sz w:val="20"/>
          <w:szCs w:val="20"/>
        </w:rPr>
      </w:pPr>
      <w:r w:rsidRPr="00064724">
        <w:rPr>
          <w:sz w:val="20"/>
          <w:szCs w:val="20"/>
        </w:rPr>
        <w:t xml:space="preserve">This </w:t>
      </w:r>
      <w:r w:rsidR="002569B9" w:rsidRPr="00064724">
        <w:rPr>
          <w:sz w:val="20"/>
          <w:szCs w:val="20"/>
        </w:rPr>
        <w:t xml:space="preserve">is not and </w:t>
      </w:r>
      <w:r w:rsidRPr="00064724">
        <w:rPr>
          <w:sz w:val="20"/>
          <w:szCs w:val="20"/>
        </w:rPr>
        <w:t xml:space="preserve">exhaustive </w:t>
      </w:r>
      <w:r w:rsidR="002569B9" w:rsidRPr="00064724">
        <w:rPr>
          <w:sz w:val="20"/>
          <w:szCs w:val="20"/>
        </w:rPr>
        <w:t xml:space="preserve">list </w:t>
      </w:r>
      <w:r w:rsidRPr="00064724">
        <w:rPr>
          <w:sz w:val="20"/>
          <w:szCs w:val="20"/>
        </w:rPr>
        <w:t xml:space="preserve">and not intended to replace staff judgement in individual cases. A customer will therefore not necessarily need to fall into an identified group to be considered as </w:t>
      </w:r>
      <w:r w:rsidR="001E4A0E" w:rsidRPr="00064724">
        <w:rPr>
          <w:sz w:val="20"/>
          <w:szCs w:val="20"/>
        </w:rPr>
        <w:t>an adult at risk of harm.</w:t>
      </w:r>
    </w:p>
    <w:p w:rsidR="001E4A0E" w:rsidRPr="00064724" w:rsidRDefault="001E4A0E" w:rsidP="0033176C">
      <w:pPr>
        <w:spacing w:after="0" w:line="240" w:lineRule="exact"/>
        <w:ind w:left="720"/>
        <w:jc w:val="both"/>
        <w:rPr>
          <w:sz w:val="20"/>
          <w:szCs w:val="20"/>
        </w:rPr>
      </w:pPr>
    </w:p>
    <w:p w:rsidR="008724B7" w:rsidRPr="00064724" w:rsidRDefault="00C64842" w:rsidP="0033176C">
      <w:pPr>
        <w:pStyle w:val="Default"/>
        <w:spacing w:line="240" w:lineRule="exact"/>
        <w:jc w:val="both"/>
        <w:rPr>
          <w:rFonts w:asciiTheme="minorHAnsi" w:hAnsiTheme="minorHAnsi"/>
          <w:b/>
          <w:sz w:val="20"/>
          <w:szCs w:val="20"/>
        </w:rPr>
      </w:pPr>
      <w:r w:rsidRPr="00064724">
        <w:rPr>
          <w:rFonts w:asciiTheme="minorHAnsi" w:hAnsiTheme="minorHAnsi"/>
          <w:b/>
          <w:sz w:val="20"/>
          <w:szCs w:val="20"/>
        </w:rPr>
        <w:t>4</w:t>
      </w:r>
      <w:r w:rsidR="00B12E86" w:rsidRPr="00064724">
        <w:rPr>
          <w:rFonts w:asciiTheme="minorHAnsi" w:hAnsiTheme="minorHAnsi"/>
          <w:b/>
          <w:sz w:val="20"/>
          <w:szCs w:val="20"/>
        </w:rPr>
        <w:t>.0</w:t>
      </w:r>
      <w:r w:rsidR="00B12E86" w:rsidRPr="00064724">
        <w:rPr>
          <w:rFonts w:asciiTheme="minorHAnsi" w:hAnsiTheme="minorHAnsi"/>
          <w:b/>
          <w:sz w:val="20"/>
          <w:szCs w:val="20"/>
        </w:rPr>
        <w:tab/>
      </w:r>
      <w:r w:rsidR="008724B7" w:rsidRPr="00064724">
        <w:rPr>
          <w:rFonts w:asciiTheme="minorHAnsi" w:hAnsiTheme="minorHAnsi"/>
          <w:b/>
          <w:sz w:val="20"/>
          <w:szCs w:val="20"/>
        </w:rPr>
        <w:t>The Policy</w:t>
      </w:r>
    </w:p>
    <w:p w:rsidR="000478CC" w:rsidRPr="00064724" w:rsidRDefault="000478CC" w:rsidP="0033176C">
      <w:pPr>
        <w:pStyle w:val="Default"/>
        <w:spacing w:line="240" w:lineRule="exact"/>
        <w:jc w:val="both"/>
        <w:rPr>
          <w:rFonts w:asciiTheme="minorHAnsi" w:hAnsiTheme="minorHAnsi"/>
          <w:b/>
          <w:sz w:val="20"/>
          <w:szCs w:val="20"/>
        </w:rPr>
      </w:pPr>
    </w:p>
    <w:p w:rsidR="00F25EC4" w:rsidRPr="00064724" w:rsidRDefault="008724B7" w:rsidP="0033176C">
      <w:pPr>
        <w:pStyle w:val="Default"/>
        <w:spacing w:line="240" w:lineRule="exact"/>
        <w:ind w:left="709"/>
        <w:jc w:val="both"/>
        <w:rPr>
          <w:rFonts w:asciiTheme="minorHAnsi" w:hAnsiTheme="minorHAnsi"/>
          <w:sz w:val="20"/>
          <w:szCs w:val="20"/>
        </w:rPr>
      </w:pPr>
      <w:r w:rsidRPr="00064724">
        <w:rPr>
          <w:rFonts w:asciiTheme="minorHAnsi" w:hAnsiTheme="minorHAnsi"/>
          <w:sz w:val="20"/>
          <w:szCs w:val="20"/>
        </w:rPr>
        <w:tab/>
      </w:r>
      <w:r w:rsidRPr="00064724">
        <w:rPr>
          <w:rFonts w:asciiTheme="minorHAnsi" w:hAnsiTheme="minorHAnsi"/>
          <w:color w:val="auto"/>
          <w:sz w:val="20"/>
          <w:szCs w:val="20"/>
        </w:rPr>
        <w:t xml:space="preserve">The guiding principles in our approach to </w:t>
      </w:r>
      <w:r w:rsidR="00F25EC4" w:rsidRPr="00064724">
        <w:rPr>
          <w:rFonts w:asciiTheme="minorHAnsi" w:hAnsiTheme="minorHAnsi"/>
          <w:color w:val="auto"/>
          <w:sz w:val="20"/>
          <w:szCs w:val="20"/>
        </w:rPr>
        <w:t xml:space="preserve">supporting </w:t>
      </w:r>
      <w:r w:rsidR="001E4A0E" w:rsidRPr="00064724">
        <w:rPr>
          <w:rFonts w:asciiTheme="minorHAnsi" w:hAnsiTheme="minorHAnsi"/>
          <w:color w:val="auto"/>
          <w:sz w:val="20"/>
          <w:szCs w:val="20"/>
        </w:rPr>
        <w:t xml:space="preserve">adults at risk of harm </w:t>
      </w:r>
      <w:r w:rsidR="004F2610" w:rsidRPr="00064724">
        <w:rPr>
          <w:rFonts w:asciiTheme="minorHAnsi" w:hAnsiTheme="minorHAnsi"/>
          <w:color w:val="auto"/>
          <w:sz w:val="20"/>
          <w:szCs w:val="20"/>
        </w:rPr>
        <w:t>reflect national guidance and</w:t>
      </w:r>
      <w:r w:rsidR="00F25EC4" w:rsidRPr="00064724">
        <w:rPr>
          <w:rFonts w:asciiTheme="minorHAnsi" w:hAnsiTheme="minorHAnsi"/>
          <w:color w:val="auto"/>
          <w:sz w:val="20"/>
          <w:szCs w:val="20"/>
        </w:rPr>
        <w:t xml:space="preserve"> </w:t>
      </w:r>
      <w:r w:rsidR="00BC6D7D" w:rsidRPr="00064724">
        <w:rPr>
          <w:rFonts w:asciiTheme="minorHAnsi" w:hAnsiTheme="minorHAnsi"/>
          <w:color w:val="auto"/>
          <w:sz w:val="20"/>
          <w:szCs w:val="20"/>
        </w:rPr>
        <w:t>legislation</w:t>
      </w:r>
      <w:r w:rsidR="004F2610" w:rsidRPr="00064724">
        <w:rPr>
          <w:rFonts w:asciiTheme="minorHAnsi" w:hAnsiTheme="minorHAnsi"/>
          <w:color w:val="auto"/>
          <w:sz w:val="20"/>
          <w:szCs w:val="20"/>
        </w:rPr>
        <w:t>.</w:t>
      </w:r>
      <w:r w:rsidR="00BC6D7D" w:rsidRPr="00064724">
        <w:rPr>
          <w:rFonts w:asciiTheme="minorHAnsi" w:hAnsiTheme="minorHAnsi"/>
          <w:color w:val="auto"/>
          <w:sz w:val="20"/>
          <w:szCs w:val="20"/>
        </w:rPr>
        <w:t xml:space="preserve"> </w:t>
      </w:r>
      <w:r w:rsidR="005531E9" w:rsidRPr="00064724">
        <w:rPr>
          <w:rFonts w:asciiTheme="minorHAnsi" w:hAnsiTheme="minorHAnsi"/>
          <w:color w:val="auto"/>
          <w:sz w:val="20"/>
          <w:szCs w:val="20"/>
        </w:rPr>
        <w:t xml:space="preserve"> </w:t>
      </w:r>
      <w:r w:rsidR="00F25EC4" w:rsidRPr="00064724">
        <w:rPr>
          <w:rFonts w:asciiTheme="minorHAnsi" w:hAnsiTheme="minorHAnsi"/>
          <w:color w:val="auto"/>
          <w:sz w:val="20"/>
          <w:szCs w:val="20"/>
        </w:rPr>
        <w:t xml:space="preserve">Our approach to supporting </w:t>
      </w:r>
      <w:r w:rsidR="001E4A0E" w:rsidRPr="00064724">
        <w:rPr>
          <w:rFonts w:asciiTheme="minorHAnsi" w:hAnsiTheme="minorHAnsi"/>
          <w:color w:val="auto"/>
          <w:sz w:val="20"/>
          <w:szCs w:val="20"/>
        </w:rPr>
        <w:t xml:space="preserve">adults at risk of harm </w:t>
      </w:r>
      <w:r w:rsidR="00F25EC4" w:rsidRPr="00064724">
        <w:rPr>
          <w:rFonts w:asciiTheme="minorHAnsi" w:hAnsiTheme="minorHAnsi"/>
          <w:color w:val="auto"/>
          <w:sz w:val="20"/>
          <w:szCs w:val="20"/>
        </w:rPr>
        <w:t xml:space="preserve">will aim to do the </w:t>
      </w:r>
      <w:r w:rsidR="00C500E8" w:rsidRPr="00064724">
        <w:rPr>
          <w:rFonts w:asciiTheme="minorHAnsi" w:hAnsiTheme="minorHAnsi"/>
          <w:color w:val="auto"/>
          <w:sz w:val="20"/>
          <w:szCs w:val="20"/>
        </w:rPr>
        <w:t>following:</w:t>
      </w:r>
    </w:p>
    <w:p w:rsidR="00BC6D7D" w:rsidRPr="00064724" w:rsidRDefault="00BC6D7D" w:rsidP="0033176C">
      <w:pPr>
        <w:pStyle w:val="Default"/>
        <w:spacing w:line="240" w:lineRule="exact"/>
        <w:ind w:left="709"/>
        <w:jc w:val="both"/>
        <w:rPr>
          <w:rFonts w:asciiTheme="minorHAnsi" w:hAnsiTheme="minorHAnsi"/>
          <w:color w:val="auto"/>
          <w:sz w:val="20"/>
          <w:szCs w:val="20"/>
        </w:rPr>
      </w:pPr>
    </w:p>
    <w:p w:rsidR="00F25EC4" w:rsidRPr="00064724" w:rsidRDefault="00F25EC4" w:rsidP="0033176C">
      <w:pPr>
        <w:pStyle w:val="ListParagraph"/>
        <w:numPr>
          <w:ilvl w:val="0"/>
          <w:numId w:val="19"/>
        </w:numPr>
        <w:spacing w:after="0" w:line="240" w:lineRule="exact"/>
        <w:ind w:left="1418" w:hanging="284"/>
        <w:jc w:val="both"/>
        <w:rPr>
          <w:sz w:val="20"/>
          <w:szCs w:val="20"/>
        </w:rPr>
      </w:pPr>
      <w:r w:rsidRPr="00064724">
        <w:rPr>
          <w:sz w:val="20"/>
          <w:szCs w:val="20"/>
        </w:rPr>
        <w:t>Promote the Government’s six key principles for the implementation of safeguarding frameworks to ensure good outcomes for adults at risk: Empowerment, Protection, Prevention, Proportionality, Partnerships and Accountability</w:t>
      </w:r>
    </w:p>
    <w:p w:rsidR="00F25EC4" w:rsidRPr="00064724" w:rsidRDefault="00F25EC4" w:rsidP="0033176C">
      <w:pPr>
        <w:pStyle w:val="ListParagraph"/>
        <w:numPr>
          <w:ilvl w:val="0"/>
          <w:numId w:val="19"/>
        </w:numPr>
        <w:spacing w:after="0" w:line="240" w:lineRule="exact"/>
        <w:ind w:left="1418" w:hanging="284"/>
        <w:jc w:val="both"/>
        <w:rPr>
          <w:sz w:val="20"/>
          <w:szCs w:val="20"/>
        </w:rPr>
      </w:pPr>
      <w:r w:rsidRPr="00064724">
        <w:rPr>
          <w:sz w:val="20"/>
          <w:szCs w:val="20"/>
        </w:rPr>
        <w:t>Promote and maintain an inclusive environment that values people for who they are</w:t>
      </w:r>
      <w:r w:rsidR="002569B9" w:rsidRPr="00064724">
        <w:rPr>
          <w:sz w:val="20"/>
          <w:szCs w:val="20"/>
        </w:rPr>
        <w:t xml:space="preserve"> d</w:t>
      </w:r>
      <w:r w:rsidRPr="00064724">
        <w:rPr>
          <w:sz w:val="20"/>
          <w:szCs w:val="20"/>
        </w:rPr>
        <w:t>esign and deliver high quality, flexible services, based on a clear understanding of our customer needs, specifically any care and support needs</w:t>
      </w:r>
      <w:r w:rsidR="0033176C" w:rsidRPr="00064724">
        <w:rPr>
          <w:sz w:val="20"/>
          <w:szCs w:val="20"/>
        </w:rPr>
        <w:t xml:space="preserve"> and e</w:t>
      </w:r>
      <w:r w:rsidRPr="00064724">
        <w:rPr>
          <w:sz w:val="20"/>
          <w:szCs w:val="20"/>
        </w:rPr>
        <w:t>nsure our services are accessible to all</w:t>
      </w:r>
    </w:p>
    <w:p w:rsidR="00BC6D7D" w:rsidRPr="00064724" w:rsidRDefault="00F25EC4" w:rsidP="0033176C">
      <w:pPr>
        <w:pStyle w:val="ListParagraph"/>
        <w:numPr>
          <w:ilvl w:val="0"/>
          <w:numId w:val="19"/>
        </w:numPr>
        <w:spacing w:after="0" w:line="240" w:lineRule="exact"/>
        <w:ind w:left="1418" w:hanging="284"/>
        <w:jc w:val="both"/>
        <w:rPr>
          <w:sz w:val="20"/>
          <w:szCs w:val="20"/>
        </w:rPr>
      </w:pPr>
      <w:r w:rsidRPr="00064724">
        <w:rPr>
          <w:sz w:val="20"/>
          <w:szCs w:val="20"/>
        </w:rPr>
        <w:t xml:space="preserve">Safeguard adults and children, identify any at risk and work with other </w:t>
      </w:r>
      <w:r w:rsidR="00BC6D7D" w:rsidRPr="00064724">
        <w:rPr>
          <w:sz w:val="20"/>
          <w:szCs w:val="20"/>
        </w:rPr>
        <w:t>agencies to deal with any abuse</w:t>
      </w:r>
      <w:r w:rsidR="005D4168" w:rsidRPr="00064724">
        <w:rPr>
          <w:sz w:val="20"/>
          <w:szCs w:val="20"/>
        </w:rPr>
        <w:t>.</w:t>
      </w:r>
    </w:p>
    <w:p w:rsidR="005D4168" w:rsidRPr="00064724" w:rsidRDefault="005D4168" w:rsidP="0033176C">
      <w:pPr>
        <w:pStyle w:val="ListParagraph"/>
        <w:spacing w:after="0" w:line="240" w:lineRule="exact"/>
        <w:ind w:left="1418"/>
        <w:jc w:val="both"/>
        <w:rPr>
          <w:sz w:val="20"/>
          <w:szCs w:val="20"/>
        </w:rPr>
      </w:pPr>
    </w:p>
    <w:p w:rsidR="00F25EC4" w:rsidRPr="00064724" w:rsidRDefault="00F25EC4" w:rsidP="0033176C">
      <w:pPr>
        <w:spacing w:after="0" w:line="240" w:lineRule="exact"/>
        <w:ind w:left="720"/>
        <w:jc w:val="both"/>
        <w:rPr>
          <w:sz w:val="20"/>
          <w:szCs w:val="20"/>
        </w:rPr>
      </w:pPr>
      <w:r w:rsidRPr="00064724">
        <w:rPr>
          <w:sz w:val="20"/>
          <w:szCs w:val="20"/>
        </w:rPr>
        <w:t xml:space="preserve">The specific objectives of this policy are to ensure that </w:t>
      </w:r>
      <w:r w:rsidR="00497265" w:rsidRPr="00064724">
        <w:rPr>
          <w:sz w:val="20"/>
          <w:szCs w:val="20"/>
        </w:rPr>
        <w:t>One Manchester</w:t>
      </w:r>
      <w:r w:rsidRPr="00064724">
        <w:rPr>
          <w:sz w:val="20"/>
          <w:szCs w:val="20"/>
        </w:rPr>
        <w:t xml:space="preserve"> has effective arrangements in </w:t>
      </w:r>
      <w:r w:rsidR="00C500E8" w:rsidRPr="00064724">
        <w:rPr>
          <w:sz w:val="20"/>
          <w:szCs w:val="20"/>
        </w:rPr>
        <w:t>place:</w:t>
      </w:r>
    </w:p>
    <w:p w:rsidR="005D4168" w:rsidRPr="00064724" w:rsidRDefault="005D4168" w:rsidP="0033176C">
      <w:pPr>
        <w:spacing w:after="0" w:line="240" w:lineRule="exact"/>
        <w:ind w:left="1134"/>
        <w:jc w:val="both"/>
        <w:rPr>
          <w:sz w:val="20"/>
          <w:szCs w:val="20"/>
        </w:rPr>
      </w:pPr>
    </w:p>
    <w:p w:rsidR="00F25EC4" w:rsidRPr="00064724" w:rsidRDefault="00F25EC4" w:rsidP="001E4A0E">
      <w:pPr>
        <w:pStyle w:val="ListParagraph"/>
        <w:numPr>
          <w:ilvl w:val="0"/>
          <w:numId w:val="19"/>
        </w:numPr>
        <w:spacing w:after="0" w:line="240" w:lineRule="exact"/>
        <w:ind w:left="1418" w:hanging="284"/>
        <w:jc w:val="both"/>
        <w:rPr>
          <w:sz w:val="20"/>
          <w:szCs w:val="20"/>
        </w:rPr>
      </w:pPr>
      <w:r w:rsidRPr="00064724">
        <w:rPr>
          <w:sz w:val="20"/>
          <w:szCs w:val="20"/>
        </w:rPr>
        <w:t xml:space="preserve">for the collection and use of relevant customer profile information in order to understand and gain insight into our customers, including identifying </w:t>
      </w:r>
      <w:r w:rsidR="001E4A0E" w:rsidRPr="00064724">
        <w:rPr>
          <w:sz w:val="20"/>
          <w:szCs w:val="20"/>
        </w:rPr>
        <w:t>adults at risk of harm</w:t>
      </w:r>
    </w:p>
    <w:p w:rsidR="00F25EC4" w:rsidRPr="00064724" w:rsidRDefault="00AB1B6B" w:rsidP="0033176C">
      <w:pPr>
        <w:pStyle w:val="ListParagraph"/>
        <w:numPr>
          <w:ilvl w:val="0"/>
          <w:numId w:val="18"/>
        </w:numPr>
        <w:spacing w:after="0" w:line="240" w:lineRule="exact"/>
        <w:ind w:left="1418" w:hanging="284"/>
        <w:jc w:val="both"/>
        <w:rPr>
          <w:sz w:val="20"/>
          <w:szCs w:val="20"/>
        </w:rPr>
      </w:pPr>
      <w:r w:rsidRPr="00064724">
        <w:rPr>
          <w:sz w:val="20"/>
          <w:szCs w:val="20"/>
        </w:rPr>
        <w:t xml:space="preserve">for </w:t>
      </w:r>
      <w:r w:rsidR="00F25EC4" w:rsidRPr="00064724">
        <w:rPr>
          <w:sz w:val="20"/>
          <w:szCs w:val="20"/>
        </w:rPr>
        <w:t>the early identification of customers needing support or intervention</w:t>
      </w:r>
    </w:p>
    <w:p w:rsidR="00F25EC4" w:rsidRPr="00064724" w:rsidRDefault="00AB1B6B" w:rsidP="0033176C">
      <w:pPr>
        <w:pStyle w:val="ListParagraph"/>
        <w:numPr>
          <w:ilvl w:val="0"/>
          <w:numId w:val="18"/>
        </w:numPr>
        <w:spacing w:after="0" w:line="240" w:lineRule="exact"/>
        <w:ind w:left="1418" w:hanging="284"/>
        <w:jc w:val="both"/>
        <w:rPr>
          <w:sz w:val="20"/>
          <w:szCs w:val="20"/>
        </w:rPr>
      </w:pPr>
      <w:r w:rsidRPr="00064724">
        <w:rPr>
          <w:sz w:val="20"/>
          <w:szCs w:val="20"/>
        </w:rPr>
        <w:t>S</w:t>
      </w:r>
      <w:r w:rsidR="00F25EC4" w:rsidRPr="00064724">
        <w:rPr>
          <w:sz w:val="20"/>
          <w:szCs w:val="20"/>
        </w:rPr>
        <w:t>ecure appropriate and timely advice, care and support or individually tailored services</w:t>
      </w:r>
    </w:p>
    <w:p w:rsidR="00F25EC4" w:rsidRPr="00064724" w:rsidRDefault="00AB1B6B" w:rsidP="0033176C">
      <w:pPr>
        <w:pStyle w:val="ListParagraph"/>
        <w:numPr>
          <w:ilvl w:val="0"/>
          <w:numId w:val="18"/>
        </w:numPr>
        <w:spacing w:after="0" w:line="240" w:lineRule="exact"/>
        <w:ind w:left="1418" w:hanging="284"/>
        <w:jc w:val="both"/>
        <w:rPr>
          <w:sz w:val="20"/>
          <w:szCs w:val="20"/>
        </w:rPr>
      </w:pPr>
      <w:r w:rsidRPr="00064724">
        <w:rPr>
          <w:sz w:val="20"/>
          <w:szCs w:val="20"/>
        </w:rPr>
        <w:t>W</w:t>
      </w:r>
      <w:r w:rsidR="00F25EC4" w:rsidRPr="00064724">
        <w:rPr>
          <w:sz w:val="20"/>
          <w:szCs w:val="20"/>
        </w:rPr>
        <w:t>ork in partnership with other agencies in the best interests of our customers</w:t>
      </w:r>
    </w:p>
    <w:p w:rsidR="00064724" w:rsidRDefault="00064724" w:rsidP="0033176C">
      <w:pPr>
        <w:pStyle w:val="ListParagraph"/>
        <w:numPr>
          <w:ilvl w:val="0"/>
          <w:numId w:val="18"/>
        </w:numPr>
        <w:spacing w:after="0" w:line="240" w:lineRule="exact"/>
        <w:ind w:left="1418" w:hanging="284"/>
        <w:jc w:val="both"/>
        <w:rPr>
          <w:sz w:val="20"/>
          <w:szCs w:val="20"/>
        </w:rPr>
      </w:pPr>
    </w:p>
    <w:p w:rsidR="00064724" w:rsidRDefault="00064724" w:rsidP="00064724">
      <w:pPr>
        <w:pStyle w:val="ListParagraph"/>
        <w:spacing w:after="0" w:line="240" w:lineRule="exact"/>
        <w:ind w:left="1418"/>
        <w:jc w:val="both"/>
        <w:rPr>
          <w:sz w:val="20"/>
          <w:szCs w:val="20"/>
        </w:rPr>
      </w:pPr>
    </w:p>
    <w:p w:rsidR="00F25EC4" w:rsidRPr="00064724" w:rsidRDefault="00AB1B6B" w:rsidP="0033176C">
      <w:pPr>
        <w:pStyle w:val="ListParagraph"/>
        <w:numPr>
          <w:ilvl w:val="0"/>
          <w:numId w:val="18"/>
        </w:numPr>
        <w:spacing w:after="0" w:line="240" w:lineRule="exact"/>
        <w:ind w:left="1418" w:hanging="284"/>
        <w:jc w:val="both"/>
        <w:rPr>
          <w:sz w:val="20"/>
          <w:szCs w:val="20"/>
        </w:rPr>
      </w:pPr>
      <w:r w:rsidRPr="00064724">
        <w:rPr>
          <w:sz w:val="20"/>
          <w:szCs w:val="20"/>
        </w:rPr>
        <w:t>E</w:t>
      </w:r>
      <w:r w:rsidR="00F25EC4" w:rsidRPr="00064724">
        <w:rPr>
          <w:sz w:val="20"/>
          <w:szCs w:val="20"/>
        </w:rPr>
        <w:t>nabl</w:t>
      </w:r>
      <w:r w:rsidR="0033176C" w:rsidRPr="00064724">
        <w:rPr>
          <w:sz w:val="20"/>
          <w:szCs w:val="20"/>
        </w:rPr>
        <w:t>ing c</w:t>
      </w:r>
      <w:r w:rsidR="00F25EC4" w:rsidRPr="00064724">
        <w:rPr>
          <w:sz w:val="20"/>
          <w:szCs w:val="20"/>
        </w:rPr>
        <w:t>ustomers to live</w:t>
      </w:r>
      <w:r w:rsidR="002B45A4" w:rsidRPr="00064724">
        <w:rPr>
          <w:sz w:val="20"/>
          <w:szCs w:val="20"/>
        </w:rPr>
        <w:t xml:space="preserve"> </w:t>
      </w:r>
      <w:r w:rsidR="00D47EA1" w:rsidRPr="00064724">
        <w:rPr>
          <w:sz w:val="20"/>
          <w:szCs w:val="20"/>
        </w:rPr>
        <w:t>independently</w:t>
      </w:r>
      <w:r w:rsidR="00F25EC4" w:rsidRPr="00064724">
        <w:rPr>
          <w:sz w:val="20"/>
          <w:szCs w:val="20"/>
        </w:rPr>
        <w:t xml:space="preserve"> build resilience and encourage sustainable </w:t>
      </w:r>
      <w:r w:rsidRPr="00064724">
        <w:rPr>
          <w:sz w:val="20"/>
          <w:szCs w:val="20"/>
        </w:rPr>
        <w:t>T</w:t>
      </w:r>
      <w:r w:rsidR="00F25EC4" w:rsidRPr="00064724">
        <w:rPr>
          <w:sz w:val="20"/>
          <w:szCs w:val="20"/>
        </w:rPr>
        <w:t xml:space="preserve">enancies and communities </w:t>
      </w:r>
      <w:r w:rsidR="00C80D61" w:rsidRPr="00064724">
        <w:rPr>
          <w:sz w:val="20"/>
          <w:szCs w:val="20"/>
        </w:rPr>
        <w:t xml:space="preserve">in line with our Place Plan approach </w:t>
      </w:r>
    </w:p>
    <w:p w:rsidR="00F25EC4" w:rsidRPr="00064724" w:rsidRDefault="00AB1B6B" w:rsidP="0033176C">
      <w:pPr>
        <w:pStyle w:val="ListParagraph"/>
        <w:numPr>
          <w:ilvl w:val="0"/>
          <w:numId w:val="18"/>
        </w:numPr>
        <w:spacing w:after="0" w:line="240" w:lineRule="exact"/>
        <w:ind w:left="1418" w:hanging="284"/>
        <w:jc w:val="both"/>
        <w:rPr>
          <w:sz w:val="20"/>
          <w:szCs w:val="20"/>
        </w:rPr>
      </w:pPr>
      <w:r w:rsidRPr="00064724">
        <w:rPr>
          <w:sz w:val="20"/>
          <w:szCs w:val="20"/>
        </w:rPr>
        <w:t>M</w:t>
      </w:r>
      <w:r w:rsidR="00F25EC4" w:rsidRPr="00064724">
        <w:rPr>
          <w:sz w:val="20"/>
          <w:szCs w:val="20"/>
        </w:rPr>
        <w:t>onitor</w:t>
      </w:r>
      <w:r w:rsidR="0033176C" w:rsidRPr="00064724">
        <w:rPr>
          <w:sz w:val="20"/>
          <w:szCs w:val="20"/>
        </w:rPr>
        <w:t xml:space="preserve"> </w:t>
      </w:r>
      <w:r w:rsidR="00F25EC4" w:rsidRPr="00064724">
        <w:rPr>
          <w:sz w:val="20"/>
          <w:szCs w:val="20"/>
        </w:rPr>
        <w:t xml:space="preserve">the quality and effectiveness of </w:t>
      </w:r>
      <w:r w:rsidR="00156EF1" w:rsidRPr="00064724">
        <w:rPr>
          <w:sz w:val="20"/>
          <w:szCs w:val="20"/>
        </w:rPr>
        <w:t>the support provided or procured</w:t>
      </w:r>
    </w:p>
    <w:p w:rsidR="00156EF1" w:rsidRPr="00064724" w:rsidRDefault="00156EF1" w:rsidP="00156EF1">
      <w:pPr>
        <w:spacing w:after="0" w:line="240" w:lineRule="exact"/>
        <w:jc w:val="both"/>
        <w:rPr>
          <w:sz w:val="20"/>
          <w:szCs w:val="20"/>
        </w:rPr>
      </w:pPr>
    </w:p>
    <w:p w:rsidR="00156EF1" w:rsidRPr="00064724" w:rsidRDefault="00156EF1" w:rsidP="00156EF1">
      <w:pPr>
        <w:spacing w:after="0" w:line="240" w:lineRule="auto"/>
        <w:ind w:left="720" w:hanging="720"/>
        <w:jc w:val="both"/>
        <w:rPr>
          <w:b/>
          <w:sz w:val="20"/>
          <w:szCs w:val="20"/>
          <w:lang w:eastAsia="en-GB"/>
        </w:rPr>
      </w:pPr>
      <w:r w:rsidRPr="00064724">
        <w:rPr>
          <w:b/>
          <w:sz w:val="20"/>
          <w:szCs w:val="20"/>
          <w:lang w:eastAsia="en-GB"/>
        </w:rPr>
        <w:t>5.0</w:t>
      </w:r>
      <w:r w:rsidRPr="00064724">
        <w:rPr>
          <w:b/>
          <w:sz w:val="20"/>
          <w:szCs w:val="20"/>
          <w:lang w:eastAsia="en-GB"/>
        </w:rPr>
        <w:tab/>
      </w:r>
      <w:r w:rsidR="00660C73" w:rsidRPr="00064724">
        <w:rPr>
          <w:b/>
          <w:sz w:val="20"/>
          <w:szCs w:val="20"/>
          <w:lang w:eastAsia="en-GB"/>
        </w:rPr>
        <w:t xml:space="preserve">Equality </w:t>
      </w:r>
    </w:p>
    <w:p w:rsidR="00156EF1" w:rsidRPr="00064724" w:rsidRDefault="00156EF1" w:rsidP="00156EF1">
      <w:pPr>
        <w:spacing w:after="0" w:line="240" w:lineRule="auto"/>
        <w:ind w:left="720" w:hanging="720"/>
        <w:jc w:val="both"/>
        <w:rPr>
          <w:b/>
          <w:sz w:val="20"/>
          <w:szCs w:val="20"/>
          <w:lang w:eastAsia="en-GB"/>
        </w:rPr>
      </w:pPr>
    </w:p>
    <w:p w:rsidR="00156EF1" w:rsidRPr="00064724" w:rsidRDefault="00156EF1" w:rsidP="00156EF1">
      <w:pPr>
        <w:spacing w:after="0" w:line="240" w:lineRule="auto"/>
        <w:ind w:left="720" w:hanging="720"/>
        <w:jc w:val="both"/>
        <w:rPr>
          <w:iCs/>
          <w:sz w:val="20"/>
          <w:szCs w:val="20"/>
          <w:lang w:eastAsia="en-GB"/>
        </w:rPr>
      </w:pPr>
      <w:r w:rsidRPr="00064724">
        <w:rPr>
          <w:sz w:val="20"/>
          <w:szCs w:val="20"/>
          <w:lang w:eastAsia="en-GB"/>
        </w:rPr>
        <w:tab/>
        <w:t xml:space="preserve">One Manchester </w:t>
      </w:r>
      <w:r w:rsidRPr="00064724">
        <w:rPr>
          <w:iCs/>
          <w:sz w:val="20"/>
          <w:szCs w:val="20"/>
          <w:lang w:eastAsia="en-GB"/>
        </w:rPr>
        <w:t>will ensure that this policy is applied fairly to all our customers.  We will not directly or indirectly discriminate against any person or group of people because of their race, religion, gender, marital status, sexual orientation, disability or other grounds set out in our Equality, Diversity and Inclusion Policy.</w:t>
      </w:r>
    </w:p>
    <w:p w:rsidR="00156EF1" w:rsidRPr="00064724" w:rsidRDefault="00156EF1" w:rsidP="00156EF1">
      <w:pPr>
        <w:spacing w:after="0" w:line="240" w:lineRule="auto"/>
        <w:ind w:left="720" w:hanging="720"/>
        <w:rPr>
          <w:iCs/>
          <w:sz w:val="20"/>
          <w:szCs w:val="20"/>
          <w:lang w:eastAsia="en-GB"/>
        </w:rPr>
      </w:pPr>
    </w:p>
    <w:p w:rsidR="00156EF1" w:rsidRPr="00064724" w:rsidRDefault="00156EF1" w:rsidP="00156EF1">
      <w:pPr>
        <w:spacing w:after="0" w:line="240" w:lineRule="auto"/>
        <w:ind w:left="720" w:hanging="720"/>
        <w:rPr>
          <w:iCs/>
          <w:sz w:val="20"/>
          <w:szCs w:val="20"/>
          <w:lang w:eastAsia="en-GB"/>
        </w:rPr>
      </w:pPr>
      <w:r w:rsidRPr="00064724">
        <w:rPr>
          <w:iCs/>
          <w:sz w:val="20"/>
          <w:szCs w:val="20"/>
          <w:lang w:eastAsia="en-GB"/>
        </w:rPr>
        <w:tab/>
        <w:t>An Equality Impact Assessment has been carried out on this policy.</w:t>
      </w:r>
    </w:p>
    <w:p w:rsidR="006E4857" w:rsidRPr="00064724" w:rsidRDefault="006E4857" w:rsidP="00156EF1">
      <w:pPr>
        <w:spacing w:after="0" w:line="240" w:lineRule="auto"/>
        <w:ind w:left="720" w:hanging="720"/>
        <w:rPr>
          <w:iCs/>
          <w:sz w:val="20"/>
          <w:szCs w:val="20"/>
          <w:lang w:eastAsia="en-GB"/>
        </w:rPr>
      </w:pPr>
    </w:p>
    <w:p w:rsidR="006E4857" w:rsidRPr="00064724" w:rsidRDefault="006E4857" w:rsidP="006E4857">
      <w:pPr>
        <w:spacing w:after="0" w:line="240" w:lineRule="auto"/>
        <w:jc w:val="both"/>
        <w:rPr>
          <w:rFonts w:cs="Arial"/>
          <w:b/>
          <w:sz w:val="20"/>
          <w:szCs w:val="20"/>
        </w:rPr>
      </w:pPr>
      <w:r w:rsidRPr="00064724">
        <w:rPr>
          <w:rFonts w:cs="Arial"/>
          <w:b/>
          <w:sz w:val="20"/>
          <w:szCs w:val="20"/>
        </w:rPr>
        <w:t>6.0</w:t>
      </w:r>
      <w:r w:rsidRPr="00064724">
        <w:rPr>
          <w:rFonts w:cs="Arial"/>
          <w:b/>
          <w:sz w:val="20"/>
          <w:szCs w:val="20"/>
        </w:rPr>
        <w:tab/>
        <w:t>Method and approach</w:t>
      </w:r>
    </w:p>
    <w:p w:rsidR="006E4857" w:rsidRPr="00064724" w:rsidRDefault="006E4857" w:rsidP="006E4857">
      <w:pPr>
        <w:spacing w:after="0" w:line="240" w:lineRule="auto"/>
        <w:jc w:val="both"/>
        <w:rPr>
          <w:rFonts w:cs="Arial"/>
          <w:b/>
          <w:sz w:val="20"/>
          <w:szCs w:val="20"/>
        </w:rPr>
      </w:pPr>
    </w:p>
    <w:p w:rsidR="006E4857" w:rsidRPr="00064724" w:rsidRDefault="006E4857" w:rsidP="006E4857">
      <w:pPr>
        <w:spacing w:after="0" w:line="240" w:lineRule="auto"/>
        <w:ind w:left="720"/>
        <w:jc w:val="both"/>
        <w:rPr>
          <w:rFonts w:cs="Arial"/>
          <w:sz w:val="20"/>
          <w:szCs w:val="20"/>
        </w:rPr>
      </w:pPr>
      <w:r w:rsidRPr="00064724">
        <w:rPr>
          <w:rFonts w:cs="Arial"/>
          <w:sz w:val="20"/>
          <w:szCs w:val="20"/>
        </w:rPr>
        <w:t>This policy should be read in conjunction with all procedures, guidance notes and complementary policies in order to meet its aims.</w:t>
      </w:r>
    </w:p>
    <w:p w:rsidR="006E4857" w:rsidRPr="00064724" w:rsidRDefault="006E4857" w:rsidP="00156EF1">
      <w:pPr>
        <w:spacing w:after="0" w:line="240" w:lineRule="auto"/>
        <w:ind w:left="720" w:hanging="720"/>
        <w:rPr>
          <w:iCs/>
          <w:sz w:val="20"/>
          <w:szCs w:val="20"/>
          <w:lang w:eastAsia="en-GB"/>
        </w:rPr>
      </w:pPr>
    </w:p>
    <w:p w:rsidR="00946D7C" w:rsidRPr="00064724" w:rsidRDefault="006E4857" w:rsidP="0033176C">
      <w:pPr>
        <w:spacing w:after="0" w:line="240" w:lineRule="exact"/>
        <w:jc w:val="both"/>
        <w:rPr>
          <w:rFonts w:cs="Arial"/>
          <w:b/>
          <w:sz w:val="20"/>
          <w:szCs w:val="20"/>
        </w:rPr>
      </w:pPr>
      <w:r w:rsidRPr="00064724">
        <w:rPr>
          <w:rFonts w:cs="Arial"/>
          <w:b/>
          <w:sz w:val="20"/>
          <w:szCs w:val="20"/>
        </w:rPr>
        <w:t>7</w:t>
      </w:r>
      <w:r w:rsidR="00946D7C" w:rsidRPr="00064724">
        <w:rPr>
          <w:rFonts w:cs="Arial"/>
          <w:b/>
          <w:sz w:val="20"/>
          <w:szCs w:val="20"/>
        </w:rPr>
        <w:t>.0</w:t>
      </w:r>
      <w:r w:rsidR="00946D7C" w:rsidRPr="00064724">
        <w:rPr>
          <w:rFonts w:cs="Arial"/>
          <w:b/>
          <w:sz w:val="20"/>
          <w:szCs w:val="20"/>
        </w:rPr>
        <w:tab/>
        <w:t>Responsibility</w:t>
      </w:r>
    </w:p>
    <w:p w:rsidR="00A56357" w:rsidRPr="00064724" w:rsidRDefault="00A56357" w:rsidP="0033176C">
      <w:pPr>
        <w:spacing w:after="0" w:line="240" w:lineRule="exact"/>
        <w:jc w:val="both"/>
        <w:rPr>
          <w:rFonts w:cs="Arial"/>
          <w:b/>
          <w:sz w:val="20"/>
          <w:szCs w:val="20"/>
        </w:rPr>
      </w:pPr>
    </w:p>
    <w:p w:rsidR="009371C7" w:rsidRPr="00064724" w:rsidRDefault="009371C7" w:rsidP="0033176C">
      <w:pPr>
        <w:spacing w:after="0" w:line="240" w:lineRule="exact"/>
        <w:ind w:left="720"/>
        <w:jc w:val="both"/>
        <w:rPr>
          <w:rFonts w:cs="Arial"/>
          <w:sz w:val="20"/>
          <w:szCs w:val="20"/>
        </w:rPr>
      </w:pPr>
      <w:r w:rsidRPr="00064724">
        <w:rPr>
          <w:rFonts w:cs="Arial"/>
          <w:sz w:val="20"/>
          <w:szCs w:val="20"/>
        </w:rPr>
        <w:t>A</w:t>
      </w:r>
      <w:r w:rsidR="00534E20" w:rsidRPr="00064724">
        <w:rPr>
          <w:rFonts w:cs="Arial"/>
          <w:sz w:val="20"/>
          <w:szCs w:val="20"/>
        </w:rPr>
        <w:t>ll One Manchester Employees an</w:t>
      </w:r>
      <w:r w:rsidRPr="00064724">
        <w:rPr>
          <w:rFonts w:cs="Arial"/>
          <w:sz w:val="20"/>
          <w:szCs w:val="20"/>
        </w:rPr>
        <w:t xml:space="preserve">d those </w:t>
      </w:r>
      <w:r w:rsidR="00534E20" w:rsidRPr="00064724">
        <w:rPr>
          <w:rFonts w:cs="Arial"/>
          <w:sz w:val="20"/>
          <w:szCs w:val="20"/>
        </w:rPr>
        <w:t>working on behalf o</w:t>
      </w:r>
      <w:r w:rsidRPr="00064724">
        <w:rPr>
          <w:rFonts w:cs="Arial"/>
          <w:sz w:val="20"/>
          <w:szCs w:val="20"/>
        </w:rPr>
        <w:t>f the company have to adhere to this policy.  The Director of Communities will ensure</w:t>
      </w:r>
      <w:r w:rsidR="007672C6" w:rsidRPr="00064724">
        <w:rPr>
          <w:rFonts w:cs="Arial"/>
          <w:sz w:val="20"/>
          <w:szCs w:val="20"/>
        </w:rPr>
        <w:t xml:space="preserve"> this policy is</w:t>
      </w:r>
      <w:r w:rsidRPr="00064724">
        <w:rPr>
          <w:rFonts w:cs="Arial"/>
          <w:sz w:val="20"/>
          <w:szCs w:val="20"/>
        </w:rPr>
        <w:t xml:space="preserve"> complied with and is responsible for the on-</w:t>
      </w:r>
      <w:r w:rsidR="00491BD2" w:rsidRPr="00064724">
        <w:rPr>
          <w:rFonts w:cs="Arial"/>
          <w:sz w:val="20"/>
          <w:szCs w:val="20"/>
        </w:rPr>
        <w:t xml:space="preserve">going development and delivery of </w:t>
      </w:r>
      <w:r w:rsidRPr="00064724">
        <w:rPr>
          <w:rFonts w:cs="Arial"/>
          <w:sz w:val="20"/>
          <w:szCs w:val="20"/>
        </w:rPr>
        <w:t xml:space="preserve">this. </w:t>
      </w:r>
    </w:p>
    <w:p w:rsidR="009371C7" w:rsidRPr="00064724" w:rsidRDefault="009371C7" w:rsidP="0033176C">
      <w:pPr>
        <w:spacing w:after="0" w:line="240" w:lineRule="exact"/>
        <w:ind w:left="720"/>
        <w:jc w:val="both"/>
        <w:rPr>
          <w:rFonts w:cs="Arial"/>
          <w:sz w:val="20"/>
          <w:szCs w:val="20"/>
        </w:rPr>
      </w:pPr>
    </w:p>
    <w:p w:rsidR="007672C6" w:rsidRPr="00064724" w:rsidRDefault="006E4857" w:rsidP="0033176C">
      <w:pPr>
        <w:spacing w:after="0" w:line="240" w:lineRule="exact"/>
        <w:jc w:val="both"/>
        <w:rPr>
          <w:rFonts w:cs="Arial"/>
          <w:b/>
          <w:sz w:val="20"/>
          <w:szCs w:val="20"/>
        </w:rPr>
      </w:pPr>
      <w:r w:rsidRPr="00064724">
        <w:rPr>
          <w:rFonts w:cs="Arial"/>
          <w:b/>
          <w:sz w:val="20"/>
          <w:szCs w:val="20"/>
        </w:rPr>
        <w:t>8</w:t>
      </w:r>
      <w:r w:rsidR="00AB771F" w:rsidRPr="00064724">
        <w:rPr>
          <w:rFonts w:cs="Arial"/>
          <w:b/>
          <w:sz w:val="20"/>
          <w:szCs w:val="20"/>
        </w:rPr>
        <w:t>.0</w:t>
      </w:r>
      <w:r w:rsidR="00AB771F" w:rsidRPr="00064724">
        <w:rPr>
          <w:rFonts w:cs="Arial"/>
          <w:b/>
          <w:sz w:val="20"/>
          <w:szCs w:val="20"/>
        </w:rPr>
        <w:tab/>
      </w:r>
      <w:r w:rsidR="00C64842" w:rsidRPr="00064724">
        <w:rPr>
          <w:rFonts w:cs="Arial"/>
          <w:b/>
          <w:sz w:val="20"/>
          <w:szCs w:val="20"/>
        </w:rPr>
        <w:t>Monitoring, review and evaluation</w:t>
      </w:r>
    </w:p>
    <w:p w:rsidR="0033176C" w:rsidRPr="00064724" w:rsidRDefault="0033176C" w:rsidP="0033176C">
      <w:pPr>
        <w:spacing w:after="0" w:line="240" w:lineRule="exact"/>
        <w:jc w:val="both"/>
        <w:rPr>
          <w:rFonts w:cs="Arial"/>
          <w:b/>
          <w:sz w:val="20"/>
          <w:szCs w:val="20"/>
        </w:rPr>
      </w:pPr>
    </w:p>
    <w:p w:rsidR="00E00BC5" w:rsidRPr="00064724" w:rsidRDefault="007672C6" w:rsidP="0033176C">
      <w:pPr>
        <w:spacing w:after="0" w:line="240" w:lineRule="exact"/>
        <w:ind w:left="709"/>
        <w:jc w:val="both"/>
        <w:rPr>
          <w:rFonts w:cs="Arial"/>
          <w:sz w:val="20"/>
          <w:szCs w:val="20"/>
        </w:rPr>
      </w:pPr>
      <w:r w:rsidRPr="00064724">
        <w:rPr>
          <w:rFonts w:cs="Arial"/>
          <w:sz w:val="20"/>
          <w:szCs w:val="20"/>
        </w:rPr>
        <w:t>This policy will be reconsidered against all relevant legislative changes and will be reviewed every three years as a matter of course.</w:t>
      </w:r>
    </w:p>
    <w:p w:rsidR="007672C6" w:rsidRPr="00064724" w:rsidRDefault="007672C6" w:rsidP="0033176C">
      <w:pPr>
        <w:spacing w:after="0" w:line="240" w:lineRule="exact"/>
        <w:ind w:left="709"/>
        <w:jc w:val="both"/>
        <w:rPr>
          <w:rFonts w:cs="Arial"/>
          <w:sz w:val="20"/>
          <w:szCs w:val="20"/>
        </w:rPr>
      </w:pPr>
    </w:p>
    <w:p w:rsidR="00E00BC5" w:rsidRPr="00064724" w:rsidRDefault="006E4857" w:rsidP="006E4857">
      <w:pPr>
        <w:spacing w:after="0" w:line="240" w:lineRule="exact"/>
        <w:jc w:val="both"/>
        <w:rPr>
          <w:rFonts w:cs="Arial"/>
          <w:b/>
          <w:sz w:val="20"/>
          <w:szCs w:val="20"/>
        </w:rPr>
      </w:pPr>
      <w:r w:rsidRPr="00064724">
        <w:rPr>
          <w:rFonts w:cs="Arial"/>
          <w:b/>
          <w:sz w:val="20"/>
          <w:szCs w:val="20"/>
        </w:rPr>
        <w:t xml:space="preserve">9.0 </w:t>
      </w:r>
      <w:r w:rsidR="00E00BC5" w:rsidRPr="00064724">
        <w:rPr>
          <w:rFonts w:cs="Arial"/>
          <w:b/>
          <w:sz w:val="20"/>
          <w:szCs w:val="20"/>
        </w:rPr>
        <w:t xml:space="preserve">      Legislation </w:t>
      </w:r>
    </w:p>
    <w:p w:rsidR="00E00BC5" w:rsidRPr="00064724" w:rsidRDefault="00E00BC5" w:rsidP="0033176C">
      <w:pPr>
        <w:pStyle w:val="ListParagraph"/>
        <w:spacing w:after="0" w:line="240" w:lineRule="exact"/>
        <w:ind w:left="360"/>
        <w:jc w:val="both"/>
        <w:rPr>
          <w:rFonts w:cs="Arial"/>
          <w:b/>
          <w:sz w:val="20"/>
          <w:szCs w:val="20"/>
        </w:rPr>
      </w:pPr>
    </w:p>
    <w:p w:rsidR="00E00BC5" w:rsidRPr="00064724" w:rsidRDefault="00E00BC5" w:rsidP="0033176C">
      <w:pPr>
        <w:spacing w:after="0" w:line="240" w:lineRule="exact"/>
        <w:ind w:left="720"/>
        <w:jc w:val="both"/>
        <w:rPr>
          <w:rFonts w:cs="Arial"/>
          <w:sz w:val="20"/>
          <w:szCs w:val="20"/>
        </w:rPr>
      </w:pPr>
      <w:r w:rsidRPr="00064724">
        <w:rPr>
          <w:rFonts w:cs="Arial"/>
          <w:sz w:val="20"/>
          <w:szCs w:val="20"/>
        </w:rPr>
        <w:t xml:space="preserve">This policy and any subsequent procedures have been written in accordance with relevant guidance and legislation, which include: </w:t>
      </w:r>
    </w:p>
    <w:p w:rsidR="000C04B4" w:rsidRPr="00064724" w:rsidRDefault="000C04B4" w:rsidP="0033176C">
      <w:pPr>
        <w:spacing w:after="0" w:line="240" w:lineRule="exact"/>
        <w:ind w:left="720"/>
        <w:jc w:val="both"/>
        <w:rPr>
          <w:rFonts w:cs="Arial"/>
          <w:sz w:val="20"/>
          <w:szCs w:val="20"/>
        </w:rPr>
      </w:pPr>
    </w:p>
    <w:p w:rsidR="009A4274" w:rsidRPr="00064724" w:rsidRDefault="009A4274" w:rsidP="0033176C">
      <w:pPr>
        <w:pStyle w:val="ListParagraph"/>
        <w:numPr>
          <w:ilvl w:val="0"/>
          <w:numId w:val="15"/>
        </w:numPr>
        <w:spacing w:after="0" w:line="240" w:lineRule="exact"/>
        <w:jc w:val="both"/>
        <w:rPr>
          <w:rFonts w:cs="Arial"/>
          <w:sz w:val="20"/>
          <w:szCs w:val="20"/>
        </w:rPr>
      </w:pPr>
      <w:r w:rsidRPr="00064724">
        <w:rPr>
          <w:rFonts w:cs="Arial"/>
          <w:sz w:val="20"/>
          <w:szCs w:val="20"/>
        </w:rPr>
        <w:t>Human Rights Act 1998</w:t>
      </w:r>
    </w:p>
    <w:p w:rsidR="00C4203A" w:rsidRPr="00064724" w:rsidRDefault="001B20FB" w:rsidP="0033176C">
      <w:pPr>
        <w:pStyle w:val="ListParagraph"/>
        <w:numPr>
          <w:ilvl w:val="0"/>
          <w:numId w:val="15"/>
        </w:numPr>
        <w:spacing w:after="0" w:line="240" w:lineRule="exact"/>
        <w:jc w:val="both"/>
        <w:rPr>
          <w:rFonts w:cs="Arial"/>
          <w:sz w:val="20"/>
          <w:szCs w:val="20"/>
        </w:rPr>
      </w:pPr>
      <w:r w:rsidRPr="00064724">
        <w:rPr>
          <w:rFonts w:cs="Arial"/>
          <w:sz w:val="20"/>
          <w:szCs w:val="20"/>
        </w:rPr>
        <w:t>General Data Protection Regulations 2016</w:t>
      </w:r>
    </w:p>
    <w:p w:rsidR="00A64AC3" w:rsidRPr="00064724" w:rsidRDefault="00A64AC3" w:rsidP="0033176C">
      <w:pPr>
        <w:pStyle w:val="ListParagraph"/>
        <w:numPr>
          <w:ilvl w:val="0"/>
          <w:numId w:val="15"/>
        </w:numPr>
        <w:spacing w:after="0" w:line="240" w:lineRule="exact"/>
        <w:jc w:val="both"/>
        <w:rPr>
          <w:rFonts w:cs="Arial"/>
          <w:sz w:val="20"/>
          <w:szCs w:val="20"/>
        </w:rPr>
      </w:pPr>
      <w:r w:rsidRPr="00064724">
        <w:rPr>
          <w:rFonts w:cs="Arial"/>
          <w:sz w:val="20"/>
          <w:szCs w:val="20"/>
        </w:rPr>
        <w:t>Mental</w:t>
      </w:r>
      <w:r w:rsidR="009A4274" w:rsidRPr="00064724">
        <w:rPr>
          <w:rFonts w:cs="Arial"/>
          <w:sz w:val="20"/>
          <w:szCs w:val="20"/>
        </w:rPr>
        <w:t xml:space="preserve"> C</w:t>
      </w:r>
      <w:r w:rsidR="00C4203A" w:rsidRPr="00064724">
        <w:rPr>
          <w:rFonts w:cs="Arial"/>
          <w:sz w:val="20"/>
          <w:szCs w:val="20"/>
        </w:rPr>
        <w:t>apacity A</w:t>
      </w:r>
      <w:r w:rsidRPr="00064724">
        <w:rPr>
          <w:rFonts w:cs="Arial"/>
          <w:sz w:val="20"/>
          <w:szCs w:val="20"/>
        </w:rPr>
        <w:t>ct</w:t>
      </w:r>
      <w:r w:rsidR="00C4203A" w:rsidRPr="00064724">
        <w:rPr>
          <w:rFonts w:cs="Arial"/>
          <w:sz w:val="20"/>
          <w:szCs w:val="20"/>
        </w:rPr>
        <w:t xml:space="preserve"> </w:t>
      </w:r>
      <w:r w:rsidR="009A4274" w:rsidRPr="00064724">
        <w:rPr>
          <w:rFonts w:cs="Arial"/>
          <w:sz w:val="20"/>
          <w:szCs w:val="20"/>
        </w:rPr>
        <w:t>2005</w:t>
      </w:r>
    </w:p>
    <w:p w:rsidR="00C4203A" w:rsidRPr="00064724" w:rsidRDefault="00C4203A" w:rsidP="0033176C">
      <w:pPr>
        <w:pStyle w:val="ListParagraph"/>
        <w:numPr>
          <w:ilvl w:val="0"/>
          <w:numId w:val="15"/>
        </w:numPr>
        <w:spacing w:after="0" w:line="240" w:lineRule="exact"/>
        <w:jc w:val="both"/>
        <w:rPr>
          <w:rFonts w:cs="Arial"/>
          <w:sz w:val="20"/>
          <w:szCs w:val="20"/>
        </w:rPr>
      </w:pPr>
      <w:r w:rsidRPr="00064724">
        <w:rPr>
          <w:rFonts w:cs="Arial"/>
          <w:sz w:val="20"/>
          <w:szCs w:val="20"/>
        </w:rPr>
        <w:t xml:space="preserve">Mental </w:t>
      </w:r>
      <w:r w:rsidR="00270677" w:rsidRPr="00064724">
        <w:rPr>
          <w:rFonts w:cs="Arial"/>
          <w:sz w:val="20"/>
          <w:szCs w:val="20"/>
        </w:rPr>
        <w:t>H</w:t>
      </w:r>
      <w:r w:rsidRPr="00064724">
        <w:rPr>
          <w:rFonts w:cs="Arial"/>
          <w:sz w:val="20"/>
          <w:szCs w:val="20"/>
        </w:rPr>
        <w:t>ealth Act 2007</w:t>
      </w:r>
    </w:p>
    <w:p w:rsidR="002940EE" w:rsidRPr="00064724" w:rsidRDefault="002940EE" w:rsidP="0033176C">
      <w:pPr>
        <w:pStyle w:val="ListParagraph"/>
        <w:numPr>
          <w:ilvl w:val="0"/>
          <w:numId w:val="15"/>
        </w:numPr>
        <w:spacing w:after="0" w:line="240" w:lineRule="exact"/>
        <w:jc w:val="both"/>
        <w:rPr>
          <w:rFonts w:cs="Arial"/>
          <w:sz w:val="20"/>
          <w:szCs w:val="20"/>
        </w:rPr>
      </w:pPr>
      <w:r w:rsidRPr="00064724">
        <w:rPr>
          <w:rFonts w:cs="Arial"/>
          <w:sz w:val="20"/>
          <w:szCs w:val="20"/>
        </w:rPr>
        <w:t>Equalit</w:t>
      </w:r>
      <w:r w:rsidR="00491BD2" w:rsidRPr="00064724">
        <w:rPr>
          <w:rFonts w:cs="Arial"/>
          <w:sz w:val="20"/>
          <w:szCs w:val="20"/>
        </w:rPr>
        <w:t>y Act 2010</w:t>
      </w:r>
    </w:p>
    <w:p w:rsidR="009A4274" w:rsidRPr="00064724" w:rsidRDefault="009A4274" w:rsidP="0033176C">
      <w:pPr>
        <w:pStyle w:val="ListParagraph"/>
        <w:numPr>
          <w:ilvl w:val="0"/>
          <w:numId w:val="15"/>
        </w:numPr>
        <w:spacing w:after="0" w:line="240" w:lineRule="exact"/>
        <w:jc w:val="both"/>
        <w:rPr>
          <w:rFonts w:cs="Arial"/>
          <w:sz w:val="20"/>
          <w:szCs w:val="20"/>
        </w:rPr>
      </w:pPr>
      <w:r w:rsidRPr="00064724">
        <w:rPr>
          <w:rFonts w:cs="Arial"/>
          <w:sz w:val="20"/>
          <w:szCs w:val="20"/>
        </w:rPr>
        <w:t>Safeguarding Adults Multi-Agency Safeguarding Policy</w:t>
      </w:r>
      <w:r w:rsidR="00491BD2" w:rsidRPr="00064724">
        <w:rPr>
          <w:rFonts w:cs="Arial"/>
          <w:sz w:val="20"/>
          <w:szCs w:val="20"/>
        </w:rPr>
        <w:t>;</w:t>
      </w:r>
      <w:r w:rsidRPr="00064724">
        <w:rPr>
          <w:rFonts w:cs="Arial"/>
          <w:sz w:val="20"/>
          <w:szCs w:val="20"/>
        </w:rPr>
        <w:t xml:space="preserve"> Manchester Safeguarding Adults Board  June 2010</w:t>
      </w:r>
    </w:p>
    <w:p w:rsidR="009A4274" w:rsidRPr="00064724" w:rsidRDefault="009A4274" w:rsidP="0033176C">
      <w:pPr>
        <w:pStyle w:val="ListParagraph"/>
        <w:numPr>
          <w:ilvl w:val="0"/>
          <w:numId w:val="15"/>
        </w:numPr>
        <w:spacing w:after="0" w:line="240" w:lineRule="exact"/>
        <w:jc w:val="both"/>
        <w:rPr>
          <w:rFonts w:cs="Arial"/>
          <w:sz w:val="20"/>
          <w:szCs w:val="20"/>
        </w:rPr>
      </w:pPr>
      <w:r w:rsidRPr="00064724">
        <w:rPr>
          <w:rFonts w:cs="Arial"/>
          <w:sz w:val="20"/>
          <w:szCs w:val="20"/>
        </w:rPr>
        <w:t>Manchester Safeguarding Standard 2011</w:t>
      </w:r>
    </w:p>
    <w:p w:rsidR="009A4274" w:rsidRPr="00F6547B" w:rsidRDefault="009A4274" w:rsidP="0033176C">
      <w:pPr>
        <w:pStyle w:val="ListParagraph"/>
        <w:numPr>
          <w:ilvl w:val="0"/>
          <w:numId w:val="15"/>
        </w:numPr>
        <w:spacing w:after="0" w:line="240" w:lineRule="exact"/>
        <w:jc w:val="both"/>
        <w:rPr>
          <w:rFonts w:cs="Arial"/>
          <w:sz w:val="20"/>
          <w:szCs w:val="20"/>
        </w:rPr>
      </w:pPr>
      <w:r w:rsidRPr="00064724">
        <w:rPr>
          <w:rFonts w:cs="Arial"/>
          <w:sz w:val="20"/>
          <w:szCs w:val="20"/>
        </w:rPr>
        <w:t>Care Act 2014</w:t>
      </w:r>
      <w:r w:rsidR="002569B9" w:rsidRPr="00064724">
        <w:rPr>
          <w:rFonts w:cs="Arial"/>
          <w:sz w:val="20"/>
          <w:szCs w:val="20"/>
        </w:rPr>
        <w:t xml:space="preserve"> and </w:t>
      </w:r>
      <w:r w:rsidRPr="00064724">
        <w:rPr>
          <w:sz w:val="20"/>
          <w:szCs w:val="20"/>
          <w:lang w:val="en"/>
        </w:rPr>
        <w:t>statutory guidance for implementation</w:t>
      </w:r>
    </w:p>
    <w:p w:rsidR="00F6547B" w:rsidRPr="00F6547B" w:rsidRDefault="00F6547B" w:rsidP="0033176C">
      <w:pPr>
        <w:pStyle w:val="ListParagraph"/>
        <w:numPr>
          <w:ilvl w:val="0"/>
          <w:numId w:val="15"/>
        </w:numPr>
        <w:spacing w:after="0" w:line="240" w:lineRule="exact"/>
        <w:jc w:val="both"/>
        <w:rPr>
          <w:rFonts w:cs="Arial"/>
          <w:sz w:val="20"/>
          <w:szCs w:val="20"/>
        </w:rPr>
      </w:pPr>
      <w:r>
        <w:rPr>
          <w:sz w:val="20"/>
          <w:szCs w:val="20"/>
          <w:lang w:val="en"/>
        </w:rPr>
        <w:t>Tenancy Standard</w:t>
      </w:r>
    </w:p>
    <w:p w:rsidR="00F6547B" w:rsidRPr="00F6547B" w:rsidRDefault="00F6547B" w:rsidP="0033176C">
      <w:pPr>
        <w:pStyle w:val="ListParagraph"/>
        <w:numPr>
          <w:ilvl w:val="0"/>
          <w:numId w:val="15"/>
        </w:numPr>
        <w:spacing w:after="0" w:line="240" w:lineRule="exact"/>
        <w:jc w:val="both"/>
        <w:rPr>
          <w:rFonts w:cs="Arial"/>
          <w:sz w:val="20"/>
          <w:szCs w:val="20"/>
        </w:rPr>
      </w:pPr>
      <w:r>
        <w:rPr>
          <w:sz w:val="20"/>
          <w:szCs w:val="20"/>
          <w:lang w:val="en"/>
        </w:rPr>
        <w:t>Tenant Involvement and Empowerment Standard</w:t>
      </w:r>
    </w:p>
    <w:p w:rsidR="00F6547B" w:rsidRPr="00064724" w:rsidRDefault="00F6547B" w:rsidP="0033176C">
      <w:pPr>
        <w:pStyle w:val="ListParagraph"/>
        <w:numPr>
          <w:ilvl w:val="0"/>
          <w:numId w:val="15"/>
        </w:numPr>
        <w:spacing w:after="0" w:line="240" w:lineRule="exact"/>
        <w:jc w:val="both"/>
        <w:rPr>
          <w:rFonts w:cs="Arial"/>
          <w:sz w:val="20"/>
          <w:szCs w:val="20"/>
        </w:rPr>
      </w:pPr>
      <w:r>
        <w:rPr>
          <w:sz w:val="20"/>
          <w:szCs w:val="20"/>
          <w:lang w:val="en"/>
        </w:rPr>
        <w:t>Neighbourhood and Community Standard</w:t>
      </w:r>
    </w:p>
    <w:p w:rsidR="003F596D" w:rsidRPr="00064724" w:rsidRDefault="003F596D" w:rsidP="003F596D">
      <w:pPr>
        <w:spacing w:after="0" w:line="240" w:lineRule="exact"/>
        <w:jc w:val="both"/>
        <w:rPr>
          <w:rFonts w:cs="Arial"/>
          <w:sz w:val="20"/>
          <w:szCs w:val="20"/>
        </w:rPr>
      </w:pPr>
    </w:p>
    <w:p w:rsidR="00156EF1" w:rsidRPr="00064724" w:rsidRDefault="006E4857" w:rsidP="00156EF1">
      <w:pPr>
        <w:spacing w:after="0" w:line="240" w:lineRule="exact"/>
        <w:jc w:val="both"/>
        <w:rPr>
          <w:rFonts w:cs="Arial"/>
          <w:b/>
          <w:sz w:val="20"/>
          <w:szCs w:val="20"/>
        </w:rPr>
      </w:pPr>
      <w:r w:rsidRPr="00064724">
        <w:rPr>
          <w:rFonts w:cs="Arial"/>
          <w:b/>
          <w:sz w:val="20"/>
          <w:szCs w:val="20"/>
        </w:rPr>
        <w:t>10</w:t>
      </w:r>
      <w:r w:rsidR="00156EF1" w:rsidRPr="00064724">
        <w:rPr>
          <w:rFonts w:cs="Arial"/>
          <w:b/>
          <w:sz w:val="20"/>
          <w:szCs w:val="20"/>
        </w:rPr>
        <w:t>.0</w:t>
      </w:r>
      <w:r w:rsidR="00156EF1" w:rsidRPr="00064724">
        <w:rPr>
          <w:rFonts w:cs="Arial"/>
          <w:b/>
          <w:sz w:val="20"/>
          <w:szCs w:val="20"/>
        </w:rPr>
        <w:tab/>
        <w:t>Associated Policies</w:t>
      </w:r>
    </w:p>
    <w:p w:rsidR="00156EF1" w:rsidRPr="00064724" w:rsidRDefault="00156EF1" w:rsidP="00156EF1">
      <w:pPr>
        <w:spacing w:after="0" w:line="240" w:lineRule="exact"/>
        <w:jc w:val="both"/>
        <w:rPr>
          <w:rFonts w:cs="Arial"/>
          <w:b/>
          <w:sz w:val="20"/>
          <w:szCs w:val="20"/>
        </w:rPr>
      </w:pPr>
    </w:p>
    <w:p w:rsidR="00156EF1" w:rsidRPr="00064724" w:rsidRDefault="00156EF1" w:rsidP="00156EF1">
      <w:pPr>
        <w:spacing w:after="0" w:line="240" w:lineRule="exact"/>
        <w:ind w:left="720"/>
        <w:jc w:val="both"/>
        <w:rPr>
          <w:rFonts w:cs="Arial"/>
          <w:sz w:val="20"/>
          <w:szCs w:val="20"/>
        </w:rPr>
      </w:pPr>
      <w:r w:rsidRPr="00064724">
        <w:rPr>
          <w:rFonts w:cs="Arial"/>
          <w:sz w:val="20"/>
          <w:szCs w:val="20"/>
        </w:rPr>
        <w:t>This policy should be read in conjunction with the detailed procedures, guidance notes and the following complementary policies in order to meet its aims:</w:t>
      </w:r>
    </w:p>
    <w:p w:rsidR="00156EF1" w:rsidRPr="00064724" w:rsidRDefault="00156EF1" w:rsidP="00156EF1">
      <w:pPr>
        <w:spacing w:after="0" w:line="240" w:lineRule="exact"/>
        <w:ind w:left="720"/>
        <w:jc w:val="both"/>
        <w:rPr>
          <w:rFonts w:cs="Arial"/>
          <w:sz w:val="20"/>
          <w:szCs w:val="20"/>
        </w:rPr>
      </w:pPr>
    </w:p>
    <w:p w:rsidR="00156EF1" w:rsidRPr="00064724" w:rsidRDefault="00156EF1" w:rsidP="00156EF1">
      <w:pPr>
        <w:pStyle w:val="ListParagraph"/>
        <w:numPr>
          <w:ilvl w:val="0"/>
          <w:numId w:val="16"/>
        </w:numPr>
        <w:spacing w:after="0" w:line="240" w:lineRule="exact"/>
        <w:jc w:val="both"/>
        <w:rPr>
          <w:rFonts w:cs="Arial"/>
          <w:sz w:val="20"/>
          <w:szCs w:val="20"/>
        </w:rPr>
      </w:pPr>
      <w:r w:rsidRPr="00064724">
        <w:rPr>
          <w:rFonts w:cs="Arial"/>
          <w:sz w:val="20"/>
          <w:szCs w:val="20"/>
        </w:rPr>
        <w:t xml:space="preserve">Safeguarding </w:t>
      </w:r>
      <w:r w:rsidR="006E4857" w:rsidRPr="00064724">
        <w:rPr>
          <w:rFonts w:cs="Arial"/>
          <w:sz w:val="20"/>
          <w:szCs w:val="20"/>
        </w:rPr>
        <w:t xml:space="preserve">Adults </w:t>
      </w:r>
      <w:r w:rsidRPr="00064724">
        <w:rPr>
          <w:rFonts w:cs="Arial"/>
          <w:sz w:val="20"/>
          <w:szCs w:val="20"/>
        </w:rPr>
        <w:t>Polic</w:t>
      </w:r>
      <w:r w:rsidR="006E4857" w:rsidRPr="00064724">
        <w:rPr>
          <w:rFonts w:cs="Arial"/>
          <w:sz w:val="20"/>
          <w:szCs w:val="20"/>
        </w:rPr>
        <w:t>y</w:t>
      </w:r>
    </w:p>
    <w:p w:rsidR="006E4857" w:rsidRPr="00064724" w:rsidRDefault="006E4857" w:rsidP="00156EF1">
      <w:pPr>
        <w:pStyle w:val="ListParagraph"/>
        <w:numPr>
          <w:ilvl w:val="0"/>
          <w:numId w:val="16"/>
        </w:numPr>
        <w:spacing w:after="0" w:line="240" w:lineRule="exact"/>
        <w:jc w:val="both"/>
        <w:rPr>
          <w:rFonts w:cs="Arial"/>
          <w:sz w:val="20"/>
          <w:szCs w:val="20"/>
        </w:rPr>
      </w:pPr>
      <w:r w:rsidRPr="00064724">
        <w:rPr>
          <w:rFonts w:cs="Arial"/>
          <w:sz w:val="20"/>
          <w:szCs w:val="20"/>
        </w:rPr>
        <w:t>Safeguarding Children Policy</w:t>
      </w:r>
    </w:p>
    <w:p w:rsidR="00156EF1" w:rsidRDefault="00156EF1" w:rsidP="00156EF1">
      <w:pPr>
        <w:pStyle w:val="ListParagraph"/>
        <w:numPr>
          <w:ilvl w:val="0"/>
          <w:numId w:val="16"/>
        </w:numPr>
        <w:spacing w:after="0" w:line="240" w:lineRule="exact"/>
        <w:jc w:val="both"/>
        <w:rPr>
          <w:rFonts w:cs="Arial"/>
          <w:sz w:val="20"/>
          <w:szCs w:val="20"/>
        </w:rPr>
      </w:pPr>
      <w:r w:rsidRPr="00064724">
        <w:rPr>
          <w:rFonts w:cs="Arial"/>
          <w:sz w:val="20"/>
          <w:szCs w:val="20"/>
        </w:rPr>
        <w:t>Anti-Social Behaviour Policy</w:t>
      </w:r>
    </w:p>
    <w:p w:rsidR="007C1B6A" w:rsidRPr="00064724" w:rsidRDefault="007C1B6A" w:rsidP="00156EF1">
      <w:pPr>
        <w:pStyle w:val="ListParagraph"/>
        <w:numPr>
          <w:ilvl w:val="0"/>
          <w:numId w:val="16"/>
        </w:numPr>
        <w:spacing w:after="0" w:line="240" w:lineRule="exact"/>
        <w:jc w:val="both"/>
        <w:rPr>
          <w:rFonts w:cs="Arial"/>
          <w:sz w:val="20"/>
          <w:szCs w:val="20"/>
        </w:rPr>
      </w:pPr>
      <w:r>
        <w:rPr>
          <w:rFonts w:cs="Arial"/>
          <w:sz w:val="20"/>
          <w:szCs w:val="20"/>
        </w:rPr>
        <w:t>Equality, Diversity and Inclusion Policy</w:t>
      </w:r>
    </w:p>
    <w:p w:rsidR="00E00BC5" w:rsidRPr="00064724" w:rsidRDefault="00156EF1" w:rsidP="00156EF1">
      <w:pPr>
        <w:pStyle w:val="ListParagraph"/>
        <w:numPr>
          <w:ilvl w:val="0"/>
          <w:numId w:val="16"/>
        </w:numPr>
        <w:spacing w:after="0" w:line="240" w:lineRule="exact"/>
        <w:jc w:val="both"/>
        <w:rPr>
          <w:rFonts w:cs="Arial"/>
          <w:sz w:val="20"/>
          <w:szCs w:val="20"/>
        </w:rPr>
      </w:pPr>
      <w:r w:rsidRPr="00064724">
        <w:rPr>
          <w:rFonts w:cs="Arial"/>
          <w:sz w:val="20"/>
          <w:szCs w:val="20"/>
        </w:rPr>
        <w:t>Concern Card Procedure</w:t>
      </w:r>
    </w:p>
    <w:sectPr w:rsidR="00E00BC5" w:rsidRPr="00064724" w:rsidSect="00BB24FF">
      <w:headerReference w:type="default" r:id="rId9"/>
      <w:footerReference w:type="default" r:id="rId10"/>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E8" w:rsidRDefault="00C500E8" w:rsidP="001E7AD1">
      <w:pPr>
        <w:spacing w:after="0" w:line="240" w:lineRule="auto"/>
      </w:pPr>
      <w:r>
        <w:separator/>
      </w:r>
    </w:p>
  </w:endnote>
  <w:endnote w:type="continuationSeparator" w:id="0">
    <w:p w:rsidR="00C500E8" w:rsidRDefault="00C500E8" w:rsidP="001E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7620"/>
      <w:docPartObj>
        <w:docPartGallery w:val="Page Numbers (Top of Page)"/>
        <w:docPartUnique/>
      </w:docPartObj>
    </w:sdtPr>
    <w:sdtEndPr/>
    <w:sdtContent>
      <w:p w:rsidR="00C500E8" w:rsidRDefault="00C500E8" w:rsidP="00526FB8">
        <w:pPr>
          <w:pStyle w:val="Footer"/>
          <w:rPr>
            <w:sz w:val="20"/>
            <w:szCs w:val="20"/>
          </w:rPr>
        </w:pPr>
        <w:r>
          <w:rPr>
            <w:sz w:val="20"/>
            <w:szCs w:val="20"/>
          </w:rPr>
          <w:t>Version</w:t>
        </w:r>
        <w:r w:rsidR="00156EF1">
          <w:rPr>
            <w:sz w:val="20"/>
            <w:szCs w:val="20"/>
          </w:rPr>
          <w:t xml:space="preserve"> 2</w:t>
        </w:r>
        <w:r>
          <w:rPr>
            <w:sz w:val="20"/>
            <w:szCs w:val="20"/>
          </w:rPr>
          <w:t xml:space="preserve">: </w:t>
        </w:r>
        <w:r w:rsidR="00847AAC">
          <w:rPr>
            <w:sz w:val="20"/>
            <w:szCs w:val="20"/>
          </w:rPr>
          <w:t>June</w:t>
        </w:r>
        <w:r>
          <w:rPr>
            <w:sz w:val="20"/>
            <w:szCs w:val="20"/>
          </w:rPr>
          <w:t xml:space="preserve"> 201</w:t>
        </w:r>
        <w:r w:rsidR="00847AAC">
          <w:rPr>
            <w:sz w:val="20"/>
            <w:szCs w:val="20"/>
          </w:rPr>
          <w:t>8</w:t>
        </w:r>
        <w:r>
          <w:rPr>
            <w:sz w:val="20"/>
            <w:szCs w:val="20"/>
          </w:rPr>
          <w:tab/>
        </w:r>
        <w:r w:rsidRPr="00622AC1">
          <w:rPr>
            <w:sz w:val="20"/>
            <w:szCs w:val="20"/>
          </w:rPr>
          <w:t>Approve</w:t>
        </w:r>
        <w:r>
          <w:rPr>
            <w:sz w:val="20"/>
            <w:szCs w:val="20"/>
          </w:rPr>
          <w:t xml:space="preserve">d by: </w:t>
        </w:r>
        <w:r w:rsidR="00491325">
          <w:rPr>
            <w:sz w:val="20"/>
            <w:szCs w:val="20"/>
          </w:rPr>
          <w:t>Operations Committee 8/8/18</w:t>
        </w:r>
        <w:r>
          <w:rPr>
            <w:sz w:val="20"/>
            <w:szCs w:val="20"/>
          </w:rPr>
          <w:tab/>
          <w:t xml:space="preserve">Department: </w:t>
        </w:r>
        <w:r w:rsidR="00847AAC">
          <w:rPr>
            <w:sz w:val="20"/>
            <w:szCs w:val="20"/>
          </w:rPr>
          <w:t>Communities</w:t>
        </w:r>
      </w:p>
      <w:p w:rsidR="00C500E8" w:rsidRDefault="00C500E8">
        <w:pPr>
          <w:pStyle w:val="Footer"/>
        </w:pPr>
        <w:r>
          <w:rPr>
            <w:sz w:val="20"/>
            <w:szCs w:val="20"/>
          </w:rPr>
          <w:t xml:space="preserve">Review: </w:t>
        </w:r>
        <w:r w:rsidR="00156EF1">
          <w:rPr>
            <w:sz w:val="20"/>
            <w:szCs w:val="20"/>
          </w:rPr>
          <w:t xml:space="preserve">    </w:t>
        </w:r>
        <w:r w:rsidR="00847AAC">
          <w:rPr>
            <w:sz w:val="20"/>
            <w:szCs w:val="20"/>
          </w:rPr>
          <w:t>June 2021</w:t>
        </w:r>
        <w:r>
          <w:rPr>
            <w:sz w:val="20"/>
            <w:szCs w:val="20"/>
          </w:rPr>
          <w:tab/>
        </w:r>
        <w:r>
          <w:rPr>
            <w:sz w:val="20"/>
            <w:szCs w:val="20"/>
          </w:rPr>
          <w:tab/>
        </w:r>
        <w:r w:rsidRPr="00622AC1">
          <w:rPr>
            <w:sz w:val="20"/>
            <w:szCs w:val="20"/>
          </w:rPr>
          <w:t xml:space="preserve"> </w:t>
        </w:r>
        <w:r w:rsidRPr="00622AC1">
          <w:rPr>
            <w:rFonts w:cs="Times New Roman"/>
            <w:sz w:val="20"/>
            <w:szCs w:val="20"/>
          </w:rPr>
          <w:t xml:space="preserve">Page </w:t>
        </w:r>
        <w:r w:rsidRPr="00622AC1">
          <w:rPr>
            <w:rFonts w:cs="Times New Roman"/>
            <w:bCs/>
            <w:sz w:val="20"/>
            <w:szCs w:val="20"/>
          </w:rPr>
          <w:fldChar w:fldCharType="begin"/>
        </w:r>
        <w:r w:rsidRPr="00622AC1">
          <w:rPr>
            <w:rFonts w:cs="Times New Roman"/>
            <w:bCs/>
            <w:sz w:val="20"/>
            <w:szCs w:val="20"/>
          </w:rPr>
          <w:instrText xml:space="preserve"> PAGE </w:instrText>
        </w:r>
        <w:r w:rsidRPr="00622AC1">
          <w:rPr>
            <w:rFonts w:cs="Times New Roman"/>
            <w:bCs/>
            <w:sz w:val="20"/>
            <w:szCs w:val="20"/>
          </w:rPr>
          <w:fldChar w:fldCharType="separate"/>
        </w:r>
        <w:r w:rsidR="00F26984">
          <w:rPr>
            <w:rFonts w:cs="Times New Roman"/>
            <w:bCs/>
            <w:noProof/>
            <w:sz w:val="20"/>
            <w:szCs w:val="20"/>
          </w:rPr>
          <w:t>1</w:t>
        </w:r>
        <w:r w:rsidRPr="00622AC1">
          <w:rPr>
            <w:rFonts w:cs="Times New Roman"/>
            <w:bCs/>
            <w:sz w:val="20"/>
            <w:szCs w:val="20"/>
          </w:rPr>
          <w:fldChar w:fldCharType="end"/>
        </w:r>
        <w:r w:rsidRPr="00622AC1">
          <w:rPr>
            <w:rFonts w:cs="Times New Roman"/>
            <w:sz w:val="20"/>
            <w:szCs w:val="20"/>
          </w:rPr>
          <w:t xml:space="preserve"> of </w:t>
        </w:r>
        <w:r w:rsidRPr="00622AC1">
          <w:rPr>
            <w:rFonts w:cs="Times New Roman"/>
            <w:bCs/>
            <w:sz w:val="20"/>
            <w:szCs w:val="20"/>
          </w:rPr>
          <w:fldChar w:fldCharType="begin"/>
        </w:r>
        <w:r w:rsidRPr="00622AC1">
          <w:rPr>
            <w:rFonts w:cs="Times New Roman"/>
            <w:bCs/>
            <w:sz w:val="20"/>
            <w:szCs w:val="20"/>
          </w:rPr>
          <w:instrText xml:space="preserve"> NUMPAGES  </w:instrText>
        </w:r>
        <w:r w:rsidRPr="00622AC1">
          <w:rPr>
            <w:rFonts w:cs="Times New Roman"/>
            <w:bCs/>
            <w:sz w:val="20"/>
            <w:szCs w:val="20"/>
          </w:rPr>
          <w:fldChar w:fldCharType="separate"/>
        </w:r>
        <w:r w:rsidR="00F26984">
          <w:rPr>
            <w:rFonts w:cs="Times New Roman"/>
            <w:bCs/>
            <w:noProof/>
            <w:sz w:val="20"/>
            <w:szCs w:val="20"/>
          </w:rPr>
          <w:t>2</w:t>
        </w:r>
        <w:r w:rsidRPr="00622AC1">
          <w:rPr>
            <w:rFonts w:cs="Times New Roman"/>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E8" w:rsidRDefault="00C500E8" w:rsidP="001E7AD1">
      <w:pPr>
        <w:spacing w:after="0" w:line="240" w:lineRule="auto"/>
      </w:pPr>
      <w:r>
        <w:separator/>
      </w:r>
    </w:p>
  </w:footnote>
  <w:footnote w:type="continuationSeparator" w:id="0">
    <w:p w:rsidR="00C500E8" w:rsidRDefault="00C500E8" w:rsidP="001E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E8" w:rsidRDefault="001E4A0E" w:rsidP="00156EF1">
    <w:pPr>
      <w:pStyle w:val="Header"/>
    </w:pPr>
    <w:r>
      <w:rPr>
        <w:sz w:val="36"/>
        <w:szCs w:val="36"/>
      </w:rPr>
      <w:t>Adult</w:t>
    </w:r>
    <w:r w:rsidR="00156EF1">
      <w:rPr>
        <w:sz w:val="36"/>
        <w:szCs w:val="36"/>
      </w:rPr>
      <w:t>s</w:t>
    </w:r>
    <w:r>
      <w:rPr>
        <w:sz w:val="36"/>
        <w:szCs w:val="36"/>
      </w:rPr>
      <w:t xml:space="preserve"> At Risk of Harm</w:t>
    </w:r>
    <w:r w:rsidR="00507E4D" w:rsidRPr="00507E4D">
      <w:rPr>
        <w:sz w:val="36"/>
        <w:szCs w:val="36"/>
      </w:rPr>
      <w:t xml:space="preserve"> Policy</w:t>
    </w:r>
    <w:r w:rsidR="00156EF1">
      <w:rPr>
        <w:sz w:val="36"/>
        <w:szCs w:val="36"/>
      </w:rPr>
      <w:tab/>
    </w:r>
    <w:r w:rsidR="00C500E8">
      <w:tab/>
    </w:r>
    <w:r w:rsidR="00156EF1">
      <w:rPr>
        <w:noProof/>
        <w:lang w:eastAsia="en-GB"/>
      </w:rPr>
      <w:drawing>
        <wp:inline distT="0" distB="0" distL="0" distR="0" wp14:anchorId="22D55920" wp14:editId="6DC8D479">
          <wp:extent cx="1933575" cy="590550"/>
          <wp:effectExtent l="0" t="0" r="9525" b="0"/>
          <wp:docPr id="1" name="Picture 23" descr="cid:image001.jpg@01D20AB3.89E3FF10"/>
          <wp:cNvGraphicFramePr/>
          <a:graphic xmlns:a="http://schemas.openxmlformats.org/drawingml/2006/main">
            <a:graphicData uri="http://schemas.openxmlformats.org/drawingml/2006/picture">
              <pic:pic xmlns:pic="http://schemas.openxmlformats.org/drawingml/2006/picture">
                <pic:nvPicPr>
                  <pic:cNvPr id="1" name="Picture 23" descr="cid:image001.jpg@01D20AB3.89E3FF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39B"/>
    <w:multiLevelType w:val="hybridMultilevel"/>
    <w:tmpl w:val="476E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26C40"/>
    <w:multiLevelType w:val="multilevel"/>
    <w:tmpl w:val="A47C9AAE"/>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1080"/>
        </w:tabs>
        <w:ind w:left="1080" w:hanging="108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
    <w:nsid w:val="1A237785"/>
    <w:multiLevelType w:val="hybridMultilevel"/>
    <w:tmpl w:val="EE3C066A"/>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ECC2BFF"/>
    <w:multiLevelType w:val="hybridMultilevel"/>
    <w:tmpl w:val="2368C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345003"/>
    <w:multiLevelType w:val="hybridMultilevel"/>
    <w:tmpl w:val="A1A832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DB37AA2"/>
    <w:multiLevelType w:val="hybridMultilevel"/>
    <w:tmpl w:val="F5CC2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7F68E3"/>
    <w:multiLevelType w:val="multilevel"/>
    <w:tmpl w:val="102CADC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4A26E82"/>
    <w:multiLevelType w:val="multilevel"/>
    <w:tmpl w:val="9C8290F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1B4A8A"/>
    <w:multiLevelType w:val="hybridMultilevel"/>
    <w:tmpl w:val="CEFE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4611270"/>
    <w:multiLevelType w:val="hybridMultilevel"/>
    <w:tmpl w:val="31085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B6812C4"/>
    <w:multiLevelType w:val="multilevel"/>
    <w:tmpl w:val="198A48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2FF5AD5"/>
    <w:multiLevelType w:val="hybridMultilevel"/>
    <w:tmpl w:val="C144075A"/>
    <w:lvl w:ilvl="0" w:tplc="6112698C">
      <w:start w:val="1"/>
      <w:numFmt w:val="bullet"/>
      <w:lvlText w:val=""/>
      <w:lvlJc w:val="left"/>
      <w:pPr>
        <w:tabs>
          <w:tab w:val="num" w:pos="720"/>
        </w:tabs>
        <w:ind w:left="720" w:hanging="360"/>
      </w:pPr>
      <w:rPr>
        <w:rFonts w:ascii="Wingdings" w:hAnsi="Wingdings" w:hint="default"/>
      </w:rPr>
    </w:lvl>
    <w:lvl w:ilvl="1" w:tplc="8CEA7B5A">
      <w:start w:val="1"/>
      <w:numFmt w:val="bullet"/>
      <w:lvlText w:val=""/>
      <w:lvlJc w:val="left"/>
      <w:pPr>
        <w:tabs>
          <w:tab w:val="num" w:pos="1440"/>
        </w:tabs>
        <w:ind w:left="1440" w:hanging="360"/>
      </w:pPr>
      <w:rPr>
        <w:rFonts w:ascii="Wingdings" w:hAnsi="Wingdings" w:hint="default"/>
      </w:rPr>
    </w:lvl>
    <w:lvl w:ilvl="2" w:tplc="BFE670D8" w:tentative="1">
      <w:start w:val="1"/>
      <w:numFmt w:val="bullet"/>
      <w:lvlText w:val=""/>
      <w:lvlJc w:val="left"/>
      <w:pPr>
        <w:tabs>
          <w:tab w:val="num" w:pos="2160"/>
        </w:tabs>
        <w:ind w:left="2160" w:hanging="360"/>
      </w:pPr>
      <w:rPr>
        <w:rFonts w:ascii="Wingdings" w:hAnsi="Wingdings" w:hint="default"/>
      </w:rPr>
    </w:lvl>
    <w:lvl w:ilvl="3" w:tplc="84A8BE10" w:tentative="1">
      <w:start w:val="1"/>
      <w:numFmt w:val="bullet"/>
      <w:lvlText w:val=""/>
      <w:lvlJc w:val="left"/>
      <w:pPr>
        <w:tabs>
          <w:tab w:val="num" w:pos="2880"/>
        </w:tabs>
        <w:ind w:left="2880" w:hanging="360"/>
      </w:pPr>
      <w:rPr>
        <w:rFonts w:ascii="Wingdings" w:hAnsi="Wingdings" w:hint="default"/>
      </w:rPr>
    </w:lvl>
    <w:lvl w:ilvl="4" w:tplc="24ECF892" w:tentative="1">
      <w:start w:val="1"/>
      <w:numFmt w:val="bullet"/>
      <w:lvlText w:val=""/>
      <w:lvlJc w:val="left"/>
      <w:pPr>
        <w:tabs>
          <w:tab w:val="num" w:pos="3600"/>
        </w:tabs>
        <w:ind w:left="3600" w:hanging="360"/>
      </w:pPr>
      <w:rPr>
        <w:rFonts w:ascii="Wingdings" w:hAnsi="Wingdings" w:hint="default"/>
      </w:rPr>
    </w:lvl>
    <w:lvl w:ilvl="5" w:tplc="8214DD90" w:tentative="1">
      <w:start w:val="1"/>
      <w:numFmt w:val="bullet"/>
      <w:lvlText w:val=""/>
      <w:lvlJc w:val="left"/>
      <w:pPr>
        <w:tabs>
          <w:tab w:val="num" w:pos="4320"/>
        </w:tabs>
        <w:ind w:left="4320" w:hanging="360"/>
      </w:pPr>
      <w:rPr>
        <w:rFonts w:ascii="Wingdings" w:hAnsi="Wingdings" w:hint="default"/>
      </w:rPr>
    </w:lvl>
    <w:lvl w:ilvl="6" w:tplc="70D898BC" w:tentative="1">
      <w:start w:val="1"/>
      <w:numFmt w:val="bullet"/>
      <w:lvlText w:val=""/>
      <w:lvlJc w:val="left"/>
      <w:pPr>
        <w:tabs>
          <w:tab w:val="num" w:pos="5040"/>
        </w:tabs>
        <w:ind w:left="5040" w:hanging="360"/>
      </w:pPr>
      <w:rPr>
        <w:rFonts w:ascii="Wingdings" w:hAnsi="Wingdings" w:hint="default"/>
      </w:rPr>
    </w:lvl>
    <w:lvl w:ilvl="7" w:tplc="E0B4F9A4" w:tentative="1">
      <w:start w:val="1"/>
      <w:numFmt w:val="bullet"/>
      <w:lvlText w:val=""/>
      <w:lvlJc w:val="left"/>
      <w:pPr>
        <w:tabs>
          <w:tab w:val="num" w:pos="5760"/>
        </w:tabs>
        <w:ind w:left="5760" w:hanging="360"/>
      </w:pPr>
      <w:rPr>
        <w:rFonts w:ascii="Wingdings" w:hAnsi="Wingdings" w:hint="default"/>
      </w:rPr>
    </w:lvl>
    <w:lvl w:ilvl="8" w:tplc="94749C50" w:tentative="1">
      <w:start w:val="1"/>
      <w:numFmt w:val="bullet"/>
      <w:lvlText w:val=""/>
      <w:lvlJc w:val="left"/>
      <w:pPr>
        <w:tabs>
          <w:tab w:val="num" w:pos="6480"/>
        </w:tabs>
        <w:ind w:left="6480" w:hanging="360"/>
      </w:pPr>
      <w:rPr>
        <w:rFonts w:ascii="Wingdings" w:hAnsi="Wingdings" w:hint="default"/>
      </w:rPr>
    </w:lvl>
  </w:abstractNum>
  <w:abstractNum w:abstractNumId="12">
    <w:nsid w:val="5CBF5AFD"/>
    <w:multiLevelType w:val="hybridMultilevel"/>
    <w:tmpl w:val="B06A4F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D66638B"/>
    <w:multiLevelType w:val="hybridMultilevel"/>
    <w:tmpl w:val="21A03F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65B4688B"/>
    <w:multiLevelType w:val="hybridMultilevel"/>
    <w:tmpl w:val="EF28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64C0D"/>
    <w:multiLevelType w:val="hybridMultilevel"/>
    <w:tmpl w:val="C644B1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6CFC400C"/>
    <w:multiLevelType w:val="hybridMultilevel"/>
    <w:tmpl w:val="AC5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FA2F4E"/>
    <w:multiLevelType w:val="hybridMultilevel"/>
    <w:tmpl w:val="18D2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C016AE"/>
    <w:multiLevelType w:val="hybridMultilevel"/>
    <w:tmpl w:val="6D9E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7E85E8E"/>
    <w:multiLevelType w:val="multilevel"/>
    <w:tmpl w:val="89CE31A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C906955"/>
    <w:multiLevelType w:val="hybridMultilevel"/>
    <w:tmpl w:val="66A2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5"/>
  </w:num>
  <w:num w:numId="5">
    <w:abstractNumId w:val="7"/>
  </w:num>
  <w:num w:numId="6">
    <w:abstractNumId w:val="15"/>
  </w:num>
  <w:num w:numId="7">
    <w:abstractNumId w:val="13"/>
  </w:num>
  <w:num w:numId="8">
    <w:abstractNumId w:val="0"/>
  </w:num>
  <w:num w:numId="9">
    <w:abstractNumId w:val="20"/>
  </w:num>
  <w:num w:numId="10">
    <w:abstractNumId w:val="12"/>
  </w:num>
  <w:num w:numId="11">
    <w:abstractNumId w:val="17"/>
  </w:num>
  <w:num w:numId="12">
    <w:abstractNumId w:val="9"/>
  </w:num>
  <w:num w:numId="13">
    <w:abstractNumId w:val="8"/>
  </w:num>
  <w:num w:numId="14">
    <w:abstractNumId w:val="11"/>
  </w:num>
  <w:num w:numId="15">
    <w:abstractNumId w:val="18"/>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19"/>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D1"/>
    <w:rsid w:val="00020BC2"/>
    <w:rsid w:val="00025B90"/>
    <w:rsid w:val="000376A0"/>
    <w:rsid w:val="00040596"/>
    <w:rsid w:val="00042CBE"/>
    <w:rsid w:val="000478CC"/>
    <w:rsid w:val="000626D8"/>
    <w:rsid w:val="00064724"/>
    <w:rsid w:val="00065236"/>
    <w:rsid w:val="00070B69"/>
    <w:rsid w:val="00072F41"/>
    <w:rsid w:val="00075268"/>
    <w:rsid w:val="00077AB5"/>
    <w:rsid w:val="00082851"/>
    <w:rsid w:val="00093E90"/>
    <w:rsid w:val="000940B2"/>
    <w:rsid w:val="0009775D"/>
    <w:rsid w:val="000C04B4"/>
    <w:rsid w:val="000D6B21"/>
    <w:rsid w:val="000E1B99"/>
    <w:rsid w:val="001012EE"/>
    <w:rsid w:val="00114E70"/>
    <w:rsid w:val="001162F0"/>
    <w:rsid w:val="0012514A"/>
    <w:rsid w:val="00127016"/>
    <w:rsid w:val="00127765"/>
    <w:rsid w:val="001316EB"/>
    <w:rsid w:val="00131C2B"/>
    <w:rsid w:val="0015023E"/>
    <w:rsid w:val="0015361B"/>
    <w:rsid w:val="00154FF1"/>
    <w:rsid w:val="001563AA"/>
    <w:rsid w:val="00156EF1"/>
    <w:rsid w:val="0016628E"/>
    <w:rsid w:val="00187DB2"/>
    <w:rsid w:val="001A0749"/>
    <w:rsid w:val="001B1D9E"/>
    <w:rsid w:val="001B20FB"/>
    <w:rsid w:val="001B5F93"/>
    <w:rsid w:val="001C0ACF"/>
    <w:rsid w:val="001C2078"/>
    <w:rsid w:val="001C7140"/>
    <w:rsid w:val="001C7296"/>
    <w:rsid w:val="001C7EEF"/>
    <w:rsid w:val="001E30AE"/>
    <w:rsid w:val="001E4A0E"/>
    <w:rsid w:val="001E7840"/>
    <w:rsid w:val="001E7AD1"/>
    <w:rsid w:val="0023762A"/>
    <w:rsid w:val="00237CD2"/>
    <w:rsid w:val="00243A70"/>
    <w:rsid w:val="0024530F"/>
    <w:rsid w:val="002569B9"/>
    <w:rsid w:val="00264CEF"/>
    <w:rsid w:val="00266080"/>
    <w:rsid w:val="00270677"/>
    <w:rsid w:val="00272E81"/>
    <w:rsid w:val="002940EE"/>
    <w:rsid w:val="002B1CD8"/>
    <w:rsid w:val="002B45A4"/>
    <w:rsid w:val="002B6A43"/>
    <w:rsid w:val="002C136B"/>
    <w:rsid w:val="002D1D87"/>
    <w:rsid w:val="002D389F"/>
    <w:rsid w:val="002D5D65"/>
    <w:rsid w:val="002E0CEF"/>
    <w:rsid w:val="0031333B"/>
    <w:rsid w:val="00314C73"/>
    <w:rsid w:val="00322644"/>
    <w:rsid w:val="0033176C"/>
    <w:rsid w:val="0034405F"/>
    <w:rsid w:val="003519A1"/>
    <w:rsid w:val="003555AB"/>
    <w:rsid w:val="003625E8"/>
    <w:rsid w:val="00364FCB"/>
    <w:rsid w:val="00365A27"/>
    <w:rsid w:val="00375488"/>
    <w:rsid w:val="00375C23"/>
    <w:rsid w:val="00386B1B"/>
    <w:rsid w:val="003A670F"/>
    <w:rsid w:val="003B51CF"/>
    <w:rsid w:val="003C445B"/>
    <w:rsid w:val="003C6427"/>
    <w:rsid w:val="003D7ED2"/>
    <w:rsid w:val="003E5496"/>
    <w:rsid w:val="003F1A1B"/>
    <w:rsid w:val="003F2672"/>
    <w:rsid w:val="003F596D"/>
    <w:rsid w:val="003F72A3"/>
    <w:rsid w:val="003F768C"/>
    <w:rsid w:val="00400C75"/>
    <w:rsid w:val="00404C74"/>
    <w:rsid w:val="00406B62"/>
    <w:rsid w:val="00407B18"/>
    <w:rsid w:val="0041524C"/>
    <w:rsid w:val="004165E3"/>
    <w:rsid w:val="00422985"/>
    <w:rsid w:val="00424B57"/>
    <w:rsid w:val="0044019B"/>
    <w:rsid w:val="0045169B"/>
    <w:rsid w:val="00456D55"/>
    <w:rsid w:val="004572C0"/>
    <w:rsid w:val="00467F0A"/>
    <w:rsid w:val="0047237A"/>
    <w:rsid w:val="00481126"/>
    <w:rsid w:val="00483606"/>
    <w:rsid w:val="00491325"/>
    <w:rsid w:val="00491BD2"/>
    <w:rsid w:val="00495267"/>
    <w:rsid w:val="00497265"/>
    <w:rsid w:val="004972F1"/>
    <w:rsid w:val="004A1518"/>
    <w:rsid w:val="004A4809"/>
    <w:rsid w:val="004B22C7"/>
    <w:rsid w:val="004B485F"/>
    <w:rsid w:val="004C40DC"/>
    <w:rsid w:val="004D50CA"/>
    <w:rsid w:val="004F1941"/>
    <w:rsid w:val="004F2610"/>
    <w:rsid w:val="004F6ABC"/>
    <w:rsid w:val="004F7174"/>
    <w:rsid w:val="00507E4D"/>
    <w:rsid w:val="0051197D"/>
    <w:rsid w:val="00526FB8"/>
    <w:rsid w:val="00532AE9"/>
    <w:rsid w:val="00534E20"/>
    <w:rsid w:val="005368AE"/>
    <w:rsid w:val="005518AB"/>
    <w:rsid w:val="005531E9"/>
    <w:rsid w:val="0056026F"/>
    <w:rsid w:val="005622CB"/>
    <w:rsid w:val="005657F8"/>
    <w:rsid w:val="005727E4"/>
    <w:rsid w:val="00596B87"/>
    <w:rsid w:val="00597279"/>
    <w:rsid w:val="005A1A14"/>
    <w:rsid w:val="005A1B4F"/>
    <w:rsid w:val="005A2025"/>
    <w:rsid w:val="005A36CD"/>
    <w:rsid w:val="005A5380"/>
    <w:rsid w:val="005A6B0A"/>
    <w:rsid w:val="005B4977"/>
    <w:rsid w:val="005C25FF"/>
    <w:rsid w:val="005C2602"/>
    <w:rsid w:val="005D4168"/>
    <w:rsid w:val="005D6D43"/>
    <w:rsid w:val="005F0F72"/>
    <w:rsid w:val="006005FE"/>
    <w:rsid w:val="00601650"/>
    <w:rsid w:val="00611849"/>
    <w:rsid w:val="006129A7"/>
    <w:rsid w:val="00616A5F"/>
    <w:rsid w:val="00632CD6"/>
    <w:rsid w:val="00635AB6"/>
    <w:rsid w:val="00636CBF"/>
    <w:rsid w:val="00641C52"/>
    <w:rsid w:val="00646A18"/>
    <w:rsid w:val="00647111"/>
    <w:rsid w:val="0065686B"/>
    <w:rsid w:val="00660C73"/>
    <w:rsid w:val="00660D7A"/>
    <w:rsid w:val="00661156"/>
    <w:rsid w:val="006642DD"/>
    <w:rsid w:val="00664414"/>
    <w:rsid w:val="006720A0"/>
    <w:rsid w:val="006742F1"/>
    <w:rsid w:val="00683F40"/>
    <w:rsid w:val="00697077"/>
    <w:rsid w:val="006B0944"/>
    <w:rsid w:val="006B4261"/>
    <w:rsid w:val="006B6B4E"/>
    <w:rsid w:val="006D0B5B"/>
    <w:rsid w:val="006E0BE6"/>
    <w:rsid w:val="006E4857"/>
    <w:rsid w:val="006F5F30"/>
    <w:rsid w:val="006F7235"/>
    <w:rsid w:val="00702020"/>
    <w:rsid w:val="00711624"/>
    <w:rsid w:val="00716739"/>
    <w:rsid w:val="007672C6"/>
    <w:rsid w:val="00771BD9"/>
    <w:rsid w:val="007741BE"/>
    <w:rsid w:val="00783B85"/>
    <w:rsid w:val="00795CD9"/>
    <w:rsid w:val="007C1B6A"/>
    <w:rsid w:val="007C3857"/>
    <w:rsid w:val="007E4034"/>
    <w:rsid w:val="007E60B5"/>
    <w:rsid w:val="007E7239"/>
    <w:rsid w:val="007F4A25"/>
    <w:rsid w:val="007F4F40"/>
    <w:rsid w:val="007F4FD5"/>
    <w:rsid w:val="007F51F0"/>
    <w:rsid w:val="007F6E16"/>
    <w:rsid w:val="0080357D"/>
    <w:rsid w:val="0080413A"/>
    <w:rsid w:val="00807931"/>
    <w:rsid w:val="00811FF5"/>
    <w:rsid w:val="00812F1F"/>
    <w:rsid w:val="00815B82"/>
    <w:rsid w:val="00816FD2"/>
    <w:rsid w:val="00821212"/>
    <w:rsid w:val="0082481E"/>
    <w:rsid w:val="00825861"/>
    <w:rsid w:val="00826D78"/>
    <w:rsid w:val="0083386F"/>
    <w:rsid w:val="00843967"/>
    <w:rsid w:val="0084543D"/>
    <w:rsid w:val="00847AAC"/>
    <w:rsid w:val="008724B7"/>
    <w:rsid w:val="00874C1E"/>
    <w:rsid w:val="00875CB7"/>
    <w:rsid w:val="00880466"/>
    <w:rsid w:val="008A7885"/>
    <w:rsid w:val="008B2F98"/>
    <w:rsid w:val="008B3847"/>
    <w:rsid w:val="008C4362"/>
    <w:rsid w:val="008C47F0"/>
    <w:rsid w:val="008C6E25"/>
    <w:rsid w:val="008D1D67"/>
    <w:rsid w:val="008F0A1F"/>
    <w:rsid w:val="008F5E4E"/>
    <w:rsid w:val="008F6028"/>
    <w:rsid w:val="00914C62"/>
    <w:rsid w:val="00920E53"/>
    <w:rsid w:val="009371C7"/>
    <w:rsid w:val="00941307"/>
    <w:rsid w:val="0094241F"/>
    <w:rsid w:val="00946D7C"/>
    <w:rsid w:val="00953BAC"/>
    <w:rsid w:val="009747E7"/>
    <w:rsid w:val="009838BD"/>
    <w:rsid w:val="00984455"/>
    <w:rsid w:val="009917A2"/>
    <w:rsid w:val="009A4274"/>
    <w:rsid w:val="009B2ACB"/>
    <w:rsid w:val="009B3EA5"/>
    <w:rsid w:val="009C7F32"/>
    <w:rsid w:val="009D3D40"/>
    <w:rsid w:val="009E0234"/>
    <w:rsid w:val="009E5380"/>
    <w:rsid w:val="009E62B0"/>
    <w:rsid w:val="009F3BF9"/>
    <w:rsid w:val="00A07BC1"/>
    <w:rsid w:val="00A34095"/>
    <w:rsid w:val="00A4702B"/>
    <w:rsid w:val="00A5262F"/>
    <w:rsid w:val="00A52F7E"/>
    <w:rsid w:val="00A56357"/>
    <w:rsid w:val="00A5747D"/>
    <w:rsid w:val="00A603CC"/>
    <w:rsid w:val="00A613CD"/>
    <w:rsid w:val="00A64AC3"/>
    <w:rsid w:val="00A76B67"/>
    <w:rsid w:val="00A77E67"/>
    <w:rsid w:val="00A835EC"/>
    <w:rsid w:val="00A9506F"/>
    <w:rsid w:val="00AA47F0"/>
    <w:rsid w:val="00AA7773"/>
    <w:rsid w:val="00AB1B6B"/>
    <w:rsid w:val="00AB771F"/>
    <w:rsid w:val="00AC16FF"/>
    <w:rsid w:val="00AC25B3"/>
    <w:rsid w:val="00AC6413"/>
    <w:rsid w:val="00AC7528"/>
    <w:rsid w:val="00AD04A5"/>
    <w:rsid w:val="00AD2A49"/>
    <w:rsid w:val="00AD6291"/>
    <w:rsid w:val="00AD66E3"/>
    <w:rsid w:val="00AF3797"/>
    <w:rsid w:val="00B03F1A"/>
    <w:rsid w:val="00B056CE"/>
    <w:rsid w:val="00B071AE"/>
    <w:rsid w:val="00B073BE"/>
    <w:rsid w:val="00B0794C"/>
    <w:rsid w:val="00B12E86"/>
    <w:rsid w:val="00B516B7"/>
    <w:rsid w:val="00B53ED1"/>
    <w:rsid w:val="00B6052A"/>
    <w:rsid w:val="00B675B0"/>
    <w:rsid w:val="00B736A8"/>
    <w:rsid w:val="00B73FD6"/>
    <w:rsid w:val="00B87592"/>
    <w:rsid w:val="00B95DC8"/>
    <w:rsid w:val="00BA3B0E"/>
    <w:rsid w:val="00BB24FF"/>
    <w:rsid w:val="00BB426A"/>
    <w:rsid w:val="00BC6D7D"/>
    <w:rsid w:val="00BC7375"/>
    <w:rsid w:val="00BC79CF"/>
    <w:rsid w:val="00BD11C0"/>
    <w:rsid w:val="00BD2A0F"/>
    <w:rsid w:val="00BD6453"/>
    <w:rsid w:val="00BE3436"/>
    <w:rsid w:val="00C30CE3"/>
    <w:rsid w:val="00C4203A"/>
    <w:rsid w:val="00C443AE"/>
    <w:rsid w:val="00C47B88"/>
    <w:rsid w:val="00C500E8"/>
    <w:rsid w:val="00C60CB3"/>
    <w:rsid w:val="00C64842"/>
    <w:rsid w:val="00C6696D"/>
    <w:rsid w:val="00C80D61"/>
    <w:rsid w:val="00C871A2"/>
    <w:rsid w:val="00C87E6F"/>
    <w:rsid w:val="00C909BA"/>
    <w:rsid w:val="00CC1BEF"/>
    <w:rsid w:val="00CC36A7"/>
    <w:rsid w:val="00CD14A9"/>
    <w:rsid w:val="00CD56E1"/>
    <w:rsid w:val="00CE76F2"/>
    <w:rsid w:val="00CF0ACC"/>
    <w:rsid w:val="00CF6E6C"/>
    <w:rsid w:val="00D001D2"/>
    <w:rsid w:val="00D01256"/>
    <w:rsid w:val="00D11F28"/>
    <w:rsid w:val="00D12DF1"/>
    <w:rsid w:val="00D22A73"/>
    <w:rsid w:val="00D24D8B"/>
    <w:rsid w:val="00D47EA1"/>
    <w:rsid w:val="00D5082E"/>
    <w:rsid w:val="00D52F04"/>
    <w:rsid w:val="00D64363"/>
    <w:rsid w:val="00D66767"/>
    <w:rsid w:val="00D71995"/>
    <w:rsid w:val="00D80B62"/>
    <w:rsid w:val="00D84E55"/>
    <w:rsid w:val="00DB3561"/>
    <w:rsid w:val="00DB6312"/>
    <w:rsid w:val="00DC6518"/>
    <w:rsid w:val="00DD067D"/>
    <w:rsid w:val="00DD094C"/>
    <w:rsid w:val="00DD48C2"/>
    <w:rsid w:val="00DE39D8"/>
    <w:rsid w:val="00DE7A0E"/>
    <w:rsid w:val="00DF24C4"/>
    <w:rsid w:val="00DF730D"/>
    <w:rsid w:val="00E00BC5"/>
    <w:rsid w:val="00E06FE8"/>
    <w:rsid w:val="00E12BF7"/>
    <w:rsid w:val="00E16585"/>
    <w:rsid w:val="00E1759A"/>
    <w:rsid w:val="00E269A7"/>
    <w:rsid w:val="00E34F19"/>
    <w:rsid w:val="00E409DC"/>
    <w:rsid w:val="00E5431F"/>
    <w:rsid w:val="00E5750A"/>
    <w:rsid w:val="00E65F1C"/>
    <w:rsid w:val="00E76403"/>
    <w:rsid w:val="00E82AB8"/>
    <w:rsid w:val="00E852C3"/>
    <w:rsid w:val="00E96402"/>
    <w:rsid w:val="00E96DDA"/>
    <w:rsid w:val="00EB0D3B"/>
    <w:rsid w:val="00EB5BCC"/>
    <w:rsid w:val="00EC184D"/>
    <w:rsid w:val="00EC539F"/>
    <w:rsid w:val="00EE2136"/>
    <w:rsid w:val="00EE29D2"/>
    <w:rsid w:val="00EF35B8"/>
    <w:rsid w:val="00EF3C19"/>
    <w:rsid w:val="00EF490A"/>
    <w:rsid w:val="00F17031"/>
    <w:rsid w:val="00F25EC4"/>
    <w:rsid w:val="00F26155"/>
    <w:rsid w:val="00F26984"/>
    <w:rsid w:val="00F530F1"/>
    <w:rsid w:val="00F53A55"/>
    <w:rsid w:val="00F6457B"/>
    <w:rsid w:val="00F6547B"/>
    <w:rsid w:val="00F87176"/>
    <w:rsid w:val="00F939B4"/>
    <w:rsid w:val="00F973D4"/>
    <w:rsid w:val="00FA2A79"/>
    <w:rsid w:val="00FA6214"/>
    <w:rsid w:val="00FB1936"/>
    <w:rsid w:val="00FB29F2"/>
    <w:rsid w:val="00FC4C42"/>
    <w:rsid w:val="00FD2C3C"/>
    <w:rsid w:val="00FD3EA3"/>
    <w:rsid w:val="00FE3DCC"/>
    <w:rsid w:val="00FF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F1941"/>
    <w:rPr>
      <w:sz w:val="16"/>
      <w:szCs w:val="16"/>
    </w:rPr>
  </w:style>
  <w:style w:type="paragraph" w:styleId="CommentText">
    <w:name w:val="annotation text"/>
    <w:basedOn w:val="Normal"/>
    <w:link w:val="CommentTextChar"/>
    <w:uiPriority w:val="99"/>
    <w:semiHidden/>
    <w:unhideWhenUsed/>
    <w:rsid w:val="004F1941"/>
    <w:pPr>
      <w:spacing w:line="240" w:lineRule="auto"/>
    </w:pPr>
    <w:rPr>
      <w:sz w:val="20"/>
      <w:szCs w:val="20"/>
    </w:rPr>
  </w:style>
  <w:style w:type="character" w:customStyle="1" w:styleId="CommentTextChar">
    <w:name w:val="Comment Text Char"/>
    <w:basedOn w:val="DefaultParagraphFont"/>
    <w:link w:val="CommentText"/>
    <w:uiPriority w:val="99"/>
    <w:semiHidden/>
    <w:rsid w:val="004F1941"/>
    <w:rPr>
      <w:sz w:val="20"/>
      <w:szCs w:val="20"/>
    </w:rPr>
  </w:style>
  <w:style w:type="paragraph" w:styleId="CommentSubject">
    <w:name w:val="annotation subject"/>
    <w:basedOn w:val="CommentText"/>
    <w:next w:val="CommentText"/>
    <w:link w:val="CommentSubjectChar"/>
    <w:uiPriority w:val="99"/>
    <w:semiHidden/>
    <w:unhideWhenUsed/>
    <w:rsid w:val="004F1941"/>
    <w:rPr>
      <w:b/>
      <w:bCs/>
    </w:rPr>
  </w:style>
  <w:style w:type="character" w:customStyle="1" w:styleId="CommentSubjectChar">
    <w:name w:val="Comment Subject Char"/>
    <w:basedOn w:val="CommentTextChar"/>
    <w:link w:val="CommentSubject"/>
    <w:uiPriority w:val="99"/>
    <w:semiHidden/>
    <w:rsid w:val="004F19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F1941"/>
    <w:rPr>
      <w:sz w:val="16"/>
      <w:szCs w:val="16"/>
    </w:rPr>
  </w:style>
  <w:style w:type="paragraph" w:styleId="CommentText">
    <w:name w:val="annotation text"/>
    <w:basedOn w:val="Normal"/>
    <w:link w:val="CommentTextChar"/>
    <w:uiPriority w:val="99"/>
    <w:semiHidden/>
    <w:unhideWhenUsed/>
    <w:rsid w:val="004F1941"/>
    <w:pPr>
      <w:spacing w:line="240" w:lineRule="auto"/>
    </w:pPr>
    <w:rPr>
      <w:sz w:val="20"/>
      <w:szCs w:val="20"/>
    </w:rPr>
  </w:style>
  <w:style w:type="character" w:customStyle="1" w:styleId="CommentTextChar">
    <w:name w:val="Comment Text Char"/>
    <w:basedOn w:val="DefaultParagraphFont"/>
    <w:link w:val="CommentText"/>
    <w:uiPriority w:val="99"/>
    <w:semiHidden/>
    <w:rsid w:val="004F1941"/>
    <w:rPr>
      <w:sz w:val="20"/>
      <w:szCs w:val="20"/>
    </w:rPr>
  </w:style>
  <w:style w:type="paragraph" w:styleId="CommentSubject">
    <w:name w:val="annotation subject"/>
    <w:basedOn w:val="CommentText"/>
    <w:next w:val="CommentText"/>
    <w:link w:val="CommentSubjectChar"/>
    <w:uiPriority w:val="99"/>
    <w:semiHidden/>
    <w:unhideWhenUsed/>
    <w:rsid w:val="004F1941"/>
    <w:rPr>
      <w:b/>
      <w:bCs/>
    </w:rPr>
  </w:style>
  <w:style w:type="character" w:customStyle="1" w:styleId="CommentSubjectChar">
    <w:name w:val="Comment Subject Char"/>
    <w:basedOn w:val="CommentTextChar"/>
    <w:link w:val="CommentSubject"/>
    <w:uiPriority w:val="99"/>
    <w:semiHidden/>
    <w:rsid w:val="004F1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1633">
      <w:bodyDiv w:val="1"/>
      <w:marLeft w:val="0"/>
      <w:marRight w:val="0"/>
      <w:marTop w:val="0"/>
      <w:marBottom w:val="0"/>
      <w:divBdr>
        <w:top w:val="none" w:sz="0" w:space="0" w:color="auto"/>
        <w:left w:val="none" w:sz="0" w:space="0" w:color="auto"/>
        <w:bottom w:val="none" w:sz="0" w:space="0" w:color="auto"/>
        <w:right w:val="none" w:sz="0" w:space="0" w:color="auto"/>
      </w:divBdr>
      <w:divsChild>
        <w:div w:id="1080761102">
          <w:marLeft w:val="1440"/>
          <w:marRight w:val="0"/>
          <w:marTop w:val="115"/>
          <w:marBottom w:val="0"/>
          <w:divBdr>
            <w:top w:val="none" w:sz="0" w:space="0" w:color="auto"/>
            <w:left w:val="none" w:sz="0" w:space="0" w:color="auto"/>
            <w:bottom w:val="none" w:sz="0" w:space="0" w:color="auto"/>
            <w:right w:val="none" w:sz="0" w:space="0" w:color="auto"/>
          </w:divBdr>
        </w:div>
        <w:div w:id="379793630">
          <w:marLeft w:val="1440"/>
          <w:marRight w:val="0"/>
          <w:marTop w:val="115"/>
          <w:marBottom w:val="0"/>
          <w:divBdr>
            <w:top w:val="none" w:sz="0" w:space="0" w:color="auto"/>
            <w:left w:val="none" w:sz="0" w:space="0" w:color="auto"/>
            <w:bottom w:val="none" w:sz="0" w:space="0" w:color="auto"/>
            <w:right w:val="none" w:sz="0" w:space="0" w:color="auto"/>
          </w:divBdr>
        </w:div>
      </w:divsChild>
    </w:div>
    <w:div w:id="19722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6934-8A64-42D1-BC59-60A28888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Knox</dc:creator>
  <cp:lastModifiedBy>Liz Jenkinson</cp:lastModifiedBy>
  <cp:revision>2</cp:revision>
  <cp:lastPrinted>2018-06-29T13:47:00Z</cp:lastPrinted>
  <dcterms:created xsi:type="dcterms:W3CDTF">2018-08-10T13:48:00Z</dcterms:created>
  <dcterms:modified xsi:type="dcterms:W3CDTF">2018-08-10T13:48:00Z</dcterms:modified>
</cp:coreProperties>
</file>